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IMSR</w:t>
      </w:r>
      <w:r>
        <w:rPr>
          <w:rFonts w:ascii="Calibri" w:hAnsi="Calibri"/>
          <w:b/>
          <w:color w:val="1A2010"/>
          <w:sz w:val="40"/>
        </w:rPr>
        <w:t xml:space="preserve">  Terrestrial Energy Inc.</w:t>
      </w:r>
    </w:p>
    <w:p>
      <w:pPr>
        <w:spacing w:after="120"/>
      </w:pPr>
      <w:r>
        <w:rPr>
          <w:rFonts w:ascii="Calibri" w:hAnsi="Calibri"/>
          <w:b/>
          <w:color w:val="6E8450"/>
          <w:sz w:val="18"/>
        </w:rPr>
        <w:t>GROWTH SLEEVE · 2026-04-10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Terrestrial Energy Inc. is a development-stage advanced nuclear energy company developing the Integral Molten Salt Reactor (IMSR), a Generation IV reactor technology producing 390 MWe of carbon-free baseload power. Founded in 2013 and headquartered in Charlotte, North Carolina, the company is working to commercialize its first IMSR plants in the early 2030s through partnerships with the U.S. Department of Energy.</w:t>
      </w:r>
    </w:p>
    <w:p>
      <w:r>
        <w:rPr>
          <w:rFonts w:ascii="Calibri" w:hAnsi="Calibri"/>
          <w:b/>
          <w:color w:val="6E8450"/>
          <w:sz w:val="18"/>
        </w:rPr>
        <w:t>https://www.terrestrialenergy.com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Terrestrial Energy has advanced its IMSR technology through regulatory engagement and secured two landmark DOE agreements in January 2026 — Project TETRA (Advanced Reactor Pilot Program) and Project TEFLA (Fuel Line Pilot Program), which triggered 30.3% and 24.7% stock moves respectively [1]. However, no commercial product has been deployed yet; the company remains pre-revenue after 13 years of development. AI Deployment (0/2): No AI-powered products or measurable AI-driven operational improvements are evident; the company's core competency is nuclear reactor engineering. Market Share (1/2): Terrestrial Energy is a pioneer in molten salt reactor technology and one of only a few companies globally pursuing Generation IV commercial nuclear reactors, giving it meaningful positioning in the advanced nuclear space [2]. Pipeline (2/2): Specific next-gen milestones are well-defined: Initial criticality target of July 4, 2026 under the DOE Project TETRA award, and first commercial IMSR plants targeted for the early 2030s [1]. The 822 MWth/390 MWe IMSR design uses standard-assay LEU fuel (&lt;5% enrichment) to avoid HALEU supply constraints [1]. R&amp;D Intensity (1/1): As a development-stage company, essentially 100% of spending is R&amp;D-equivalent, far exceeding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Terrestrial Energy's implicit mission — providing carbon-free nuclear energy to meet surging global power demand — is clear and important, but the company does not articulate a deeply distinctive purpose statement beyond its technology focus [2]. CEO Simon Irish describes the company's work in terms of 'energy dominance' and meeting 'unprecedented' power demand growth, connecting the business to a genuine societal need but without a transformative vision statement. Community Impact (1/2): The company opened a North Carolina headquarters, contributing to local economic development, and its IMSR technology addresses climate change through zero-carbon energy generation [2]. However, no specific philanthropic programs or dollar amounts are cited. Employee Retention (0/2): No data available on employee count, tenure, or retention metrics for this small development-stage company. Insider Buying (1/2): CEO Simon Irish and the executive team maintain equity exposure through the company's compensation structure, and the recent strengthening of the executive team (Jim Howe VP Government Relations, David O'Keefe VP Business Development in November 2025) signals leadership commitment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Terrestrial Energy is a pre-revenue, pre-commercial development-stage company with a deeply challenged GAAP financial profile. The company has zero meaningful revenue (trailing 12-month revenue of ~$123K), negative ROE of -19.9%, and zero profit margin [3]. The lone bright spot is an extremely low D/E ratio of 0.7% ($2.1M debt against $297.8M cash), providing a runway for continued development [3]. Operating cash burn of -$16.5M and free cash outflow of -$9.9M are manageable relative to the $298M cash position, suggesting approximately 18+ years of runway at current burn rates [3]. Forward P/E is negative (-6.0x) reflecting expected losses. With no revenue, no dividends, and no earnings, the mechanical scoring algorithm yields a very low score — only the pristine balance sheet contributes positively. Liquidity floor passes: 2.46M avg daily volume x $6.24 = $15.3M.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Terrestrial Energy embodies long-term thinking by pursuing a 13-year development program for Generation IV nuclear technology, with commercialization not expected until the early 2030s. The company is playing an inherently infinite game — investing in technology that takes decades to develop and deploy. However, as a pre-revenue development-stage company, many infinite game dimensions are difficult to assess, and the company has not yet been tested through the kind of crises that validate infinite game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Terrestrial Energy's implicit Just Cause — providing abundant, carbon-free nuclear energy to power the world's growing needs — is genuine and connects to a future state that does not yet exist (widespread advanced nuclear deployment) [1]. The 13-year commitment to developing IMSR technology, despite no revenue, demonstrates authentic long-term purpose. However, the cause is partially shared with the broader advanced nuclear industry and is articulated more in technical than aspirational terms. Score: 2/3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data available for a development-stage company with undisclosed employee count. The recent addition of senior executives (Jim Howe, David O'Keefe) in November 2025 and the company's ability to attract talent from leading nuclear utilities and engineering firms suggests a credible organizational culture [2]. CEO Simon Irish has led the company since its 2013 founding, providing 13 years of leadership continuity.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Terrestrial Energy competes in the advanced nuclear space alongside companies like NuScale, Kairos Power, TerraPower, and X-energy. The company's design choices — using standard-assay LEU fuel instead of HALEU, pursuing molten salt technology instead of water-cooled designs — reflect a focus on solving specific technical problems rather than 'beating' competitors [1]. The advanced nuclear industry is inherently collaborative, with shared regulatory and supply chain challenges. Score: 1/1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single-product development-stage company, Terrestrial Energy has not faced the existential flexibility test — there has been no pivot or business model transformation because the company has only ever pursued the IMSR. The 822 MWth design targets multiple market sectors (grid power, industrial heat, data centers), showing some market flexibility, but the core technology and approach have remained constant since founding. Score: 0/2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advanced nuclear technology development for 13 years without revenue requires institutional courage and investor patience [1]. The decision to use standard-assay LEU fuel instead of HALEU was a deliberate choice to avoid supply chain risk, even though it required additional engineering complexity — a principled long-term bet. Securing two DOE agreements (Project TETRA and TEFLA) in January 2026 validates the approach. However, the company has not yet faced the kind of costly strategic tradeoff that would earn full marks.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Terrestrial Energy is a pure-play bet on the advanced nuclear energy revolution, developing the Integral Molten Salt Reactor (IMSR) — a 390 MWe Generation IV reactor that uses standard-assay LEU fuel and targets carbon-free baseload power for data centers, grid, and industrial applications [1]. The company secured two transformative DOE agreements in January 2026 (Project TETRA for pilot deployment and Project TEFLA for fuel salt production), with an initial criticality target of July 4, 2026 representing a pivotal technical milestone [1]. At $661M market cap with $298M cash and virtually zero debt (0.7% D/E), the company has 18+ years of cash runway at current burn rates [3]. The macro tailwind is enormous: AI data center power demand is growing exponentially, and hyperscalers (Microsoft, Google, Amazon) are actively pursuing nuclear power agreements. If Terrestrial Energy successfully commercializes the IMSR in the early 2030s, the addressable market is measured in hundreds of billions of dollars.</w:t>
      </w:r>
    </w:p>
    <w:p>
      <w:pPr>
        <w:spacing w:after="120"/>
      </w:pPr>
      <w:r>
        <w:rPr>
          <w:rFonts w:ascii="Calibri" w:hAnsi="Calibri"/>
          <w:b w:val="0"/>
          <w:color w:val="3A4A28"/>
          <w:sz w:val="20"/>
        </w:rPr>
        <w:t>The bear case is defined by pre-revenue execution risk across every dimension. Terrestrial Energy has generated virtually zero revenue in 13 years of operation, and commercial IMSR deployment is not expected until the early 2030s — at least 4-5 years away [1]. Nuclear reactor development faces extraordinary regulatory risk (NRC licensing timelines are measured in years to decades), construction cost overruns are endemic in the nuclear industry, and no molten salt reactor has ever been commercially deployed at scale. The $661M market cap prices in significant future success for a company with -$27M in annual losses and no path to near-term profitability [3]. Forward EPS of -$1.05 implies accelerating cash burn as the company moves from design to construction phase. Competition from better-funded developers like TerraPower (backed by Bill Gates) and NuScale (further along in NRC review) could capture market share before Terrestrial Energy's IMSR is ready. The stock has exhibited extreme volatility (30%+ single-day moves on DOE announcements), reflecting the speculative nature of the investment. Dilution risk is significant as the company will likely need additional capital raises to fund reactor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DOE Project TETRA initial criticality milestone targeted for July 4, 2026, which would validate IMSR technology and de-risk the commercial timeline [1]</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explosion — hyperscalers are actively contracting for nuclear power, creating a massive addressable market for advanced reactors targeting the early 2030s [1]</w:t>
      </w:r>
    </w:p>
    <w:p>
      <w:pPr>
        <w:spacing w:before="40" w:after="40"/>
        <w:ind w:left="283"/>
      </w:pPr>
      <w:r>
        <w:rPr>
          <w:rFonts w:ascii="Calibri" w:hAnsi="Calibri"/>
          <w:b/>
          <w:color w:val="4A6B25"/>
          <w:sz w:val="20"/>
        </w:rPr>
        <w:t xml:space="preserve">3. </w:t>
      </w:r>
      <w:r>
        <w:rPr>
          <w:rFonts w:ascii="Calibri" w:hAnsi="Calibri"/>
          <w:b w:val="0"/>
          <w:color w:val="3A4A28"/>
          <w:sz w:val="20"/>
        </w:rPr>
        <w:t>NRC licensing progress and potential design certification, which would unlock commercial deployment and differentiate IMSR from competing advanced reactor designs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execution risk — no commercial molten salt reactor has ever been deployed at scale, and the IMSR faces 4-5+ years of development, licensing, and construction before generating meaningful revenue [1]</w:t>
      </w:r>
    </w:p>
    <w:p>
      <w:pPr>
        <w:spacing w:before="40" w:after="40"/>
        <w:ind w:left="283"/>
      </w:pPr>
      <w:r>
        <w:rPr>
          <w:rFonts w:ascii="Calibri" w:hAnsi="Calibri"/>
          <w:b/>
          <w:color w:val="4A6B25"/>
          <w:sz w:val="20"/>
        </w:rPr>
        <w:t xml:space="preserve">2. </w:t>
      </w:r>
      <w:r>
        <w:rPr>
          <w:rFonts w:ascii="Calibri" w:hAnsi="Calibri"/>
          <w:b w:val="0"/>
          <w:color w:val="3A4A28"/>
          <w:sz w:val="20"/>
        </w:rPr>
        <w:t>Nuclear regulatory and permitting delays — NRC licensing timelines are inherently unpredictable, and any regulatory setback could push commercial deployment beyond 2035 [2]</w:t>
      </w:r>
    </w:p>
    <w:p>
      <w:pPr>
        <w:spacing w:before="40" w:after="40"/>
        <w:ind w:left="283"/>
      </w:pPr>
      <w:r>
        <w:rPr>
          <w:rFonts w:ascii="Calibri" w:hAnsi="Calibri"/>
          <w:b/>
          <w:color w:val="4A6B25"/>
          <w:sz w:val="20"/>
        </w:rPr>
        <w:t xml:space="preserve">3. </w:t>
      </w:r>
      <w:r>
        <w:rPr>
          <w:rFonts w:ascii="Calibri" w:hAnsi="Calibri"/>
          <w:b w:val="0"/>
          <w:color w:val="3A4A28"/>
          <w:sz w:val="20"/>
        </w:rPr>
        <w:t>Competition and dilution — better-funded advanced nuclear developers (TerraPower, NuScale, Kairos Power) may reach commercialization first, and Terrestrial Energy will likely require additional equity raises to fund reactor construction, diluting existing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Terrestrial Energy's core business — designing, licensing, and deploying advanced nuclear reactors — is structurally immune to AI disruption. Nuclear power generation involves physical-world infrastructure, complex regulatory frameworks (NRC licensing), nuclear engineering expertise, and construction of physical plants that AI cannot substitute [1]. More importantly, AI is a massive demand driver for nuclear energy: hyperscale data centers require reliable 24/7 baseload power, and nuclear is increasingly viewed as the preferred zero-carbon option. The explosive growth of AI data center energy consumption directly benefits advanced nuclear developers like Terrestrial Energy, with CEO Simon Irish explicitly citing 'extraordinary innovations in major industrial sectors driving electric power demand growth at unprecedented rates' [1]. AI Opportunity (1/1): While Terrestrial Energy does not sell AI products, its entire commercial proposition is being amplified by AI-driven electricity demand — data center operators including Microsoft, Google, and Amazon have all announced nuclear power agreements, creating a direct revenue pipeline for advanced nuclear developers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Terrestrial Energy CEO Letter — 2025 recap and 2026 milestones, DOE Project TETRA and TEFLA agreements, January 29,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NASDAQ — Terrestrial Energy executive leadership expansion and North Carolina headquarters, November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IMSR (Terrestrial Energy),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