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IMUX</w:t>
      </w:r>
      <w:r>
        <w:rPr>
          <w:rFonts w:ascii="Calibri" w:hAnsi="Calibri"/>
          <w:b/>
          <w:color w:val="1A2010"/>
          <w:sz w:val="40"/>
        </w:rPr>
        <w:t xml:space="preserve">  Immunic, Inc.</w:t>
      </w:r>
    </w:p>
    <w:p>
      <w:pPr>
        <w:spacing w:after="120"/>
      </w:pPr>
      <w:r>
        <w:rPr>
          <w:rFonts w:ascii="Calibri" w:hAnsi="Calibri"/>
          <w:b/>
          <w:color w:val="6E8450"/>
          <w:sz w:val="18"/>
        </w:rPr>
        <w:t>GROWTH SLEEVE · 2026-04-07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Immunic is a clinical-stage biotechnology company developing selective oral immunology therapies for chronic inflammatory and autoimmune diseases. Its lead candidate, vidofludimus calcium (IMU-838), is in twin Phase 3 ENSURE trials for relapsing multiple sclerosis with top-line data expected by end of 2026. The company also develops IMU-856 for gastrointestinal diseases.</w:t>
      </w:r>
    </w:p>
    <w:p>
      <w:r>
        <w:rPr>
          <w:rFonts w:ascii="Calibri" w:hAnsi="Calibri"/>
          <w:b/>
          <w:color w:val="6E8450"/>
          <w:sz w:val="18"/>
        </w:rPr>
        <w:t>92 Employees · https://imux.com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Immunic has advanced IMU-838 from Phase 2 to twin Phase 3 ENSURE trials in relapsing MS, a meaningful milestone for a 92-person company [1]. However, no products have reached market and the company remains pre-revenue after 10 years. AI Deployment (0/2): No AI products or AI-driven drug discovery programs disclosed. The company uses traditional clinical development approaches. Market Share (0/2): Pre-revenue company with no commercial products and no market share. The relapsing MS market is dominated by established players (Novartis, Roche, Biogen) [1]. Pipeline (2/2): Clear pipeline with specific timelines — twin Phase 3 ENSURE-1 and ENSURE-2 trials with top-line data expected by end of 2026, NDA submission planned mid-2027, potential approval 2028. Phase 3 PPMS program initiation expected in 2026 [1]. IMU-856 for GI diseases awaits financing for further development. R&amp;D Intensity (2/2): R&amp;D spending of $82M against zero revenue represents 100% R&amp;D intensity — the company exists to develop its pipeline [1]. Above industry average even for clinical-stage biotech.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Immunic's focus on developing oral therapies for chronic inflammatory diseases addresses a real unmet need — oral MS treatments offer convenience advantages over injectables. The mission is clear but standard for clinical-stage biotech, not distinctive [1]. Community &amp; Charitable Impact (0/2): No evidence of charitable programs or community investment. As a 92-person pre-revenue biotech, resources are focused entirely on clinical development. Employee Retention (0/2): No retention data available. CEO Daniel Vitt has led the company since its founding, but the 92-person team size provides no meaningful retention signal. Insider Buying (1/2): No specific insider buying data found; neutral assumption given the capital-intensive clinical stage.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3,539,525 avg vol × $1.17 = $4.14M &gt; $1M floor. Calculated mechanically from growth-stock metrics. D/E unavailable (excluded). ROE of -1653.1% scores 0.0 (2× weight) — deeply negative, well below the 0% floor [2]. Revenue Growth YoY unavailable — pre-revenue company (excluded). Revenue Growth 5yr CAGR unavailable (excluded). Forward P/E of -3.37 is negative (unprofitable company), treated as unavailable (excluded) [2]. Profit Margin of 0.0% scores 0.0 (1× weight) — at floor [2]. PEG unavailable (excluded). Available metrics: ROE (2× weight, score 0.0) and Profit Margin (1× weight, score 0.0). Weighted sum = 0.0 / max 3.0 × 10 = 0. Pre-revenue clinical-stage biotech with $97.2M annual net loss and zero financial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Immunic plays a partially infinite game — the decade-long commitment to developing vidofludimus calcium through Phase 3 trials demonstrates patience and long-term thinking. However, the company's survival depends on binary clinical trial outcomes and continued access to capital markets, creating finite-game constraints around each data readout.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Immunic's commitment to developing oral immunology therapies for MS and autoimmune diseases addresses genuine patient suffering — oral treatments offer quality-of-life advantages over injectable alternatives [1]. The company has pursued this cause for a decade through multiple clinical stages, but it hasn't yet been validated by commercial success or tested through a major strategic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CEO Daniel Vitt has provided consistent leadership since founding, and the 92-person team has maintained focus on the IMU-838 program through years of pre-revenue development [1]. No evidence of major layoffs or cultural dysfunction, but no positive retention data available either. The small team size should facilitate trust but also creates key-person risk.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pts). Immunic positions its oral therapy approach as differentiated from injectable MS treatments by Novartis (Kesimpta), Roche (Ocrevus), and Biogen, but the competitive framing focuses on product advantages rather than learning from rivals' strengths. No evidence of management acknowledging worthy rival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 pts). Immunic is a single-program company with virtually all resources devoted to vidofludimus calcium in MS [1]. IMU-856 development is contingent on financing or partnering. The company has no demonstrated ability to pivot if ENSURE trials fail — a negative readout would be existential. This is appropriate for a clinical-stage biotech but reflects zero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Committing $82M annually to R&amp;D on a pre-revenue basis for a decade, with $97M net loss in 2025, requires conviction in the science [1]. The decision to pursue twin Phase 3 trials (ENSURE-1 and ENSURE-2) simultaneously rather than sequentially is a bold capital allocation choice that accelerates the program timeline.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Immunic is a clinical-stage biotech with a binary catalyst approaching — top-line data from twin Phase 3 ENSURE trials in relapsing MS expected by end of 2026, followed by a potential NDA submission in mid-2027 [1]. The $152M market cap prices in significant trial failure risk, creating asymmetric upside if vidofludimus calcium demonstrates efficacy. The oral delivery mechanism offers a convenience advantage over injectable MS treatments in a $28B+ market dominated by Novartis, Roche, and Biogen. R&amp;D spend of $82M in 2025 reflects serious clinical investment, and the twin-trial design provides two independent shots at demonstrating efficacy [1].</w:t>
      </w:r>
    </w:p>
    <w:p>
      <w:pPr>
        <w:spacing w:after="120"/>
      </w:pPr>
      <w:r>
        <w:rPr>
          <w:rFonts w:ascii="Calibri" w:hAnsi="Calibri"/>
          <w:b w:val="0"/>
          <w:color w:val="3A4A28"/>
          <w:sz w:val="20"/>
        </w:rPr>
        <w:t>The bear case is substantial. Immunic has generated zero revenue in 10 years of operation, with cumulative losses exceeding $500M [2]. The company's survival depends entirely on ENSURE trial success — failure would likely be terminal given the $97M annual burn rate and $152M market cap. Forward P/E is negative (-3.37) and ROE is -1653%, reflecting a company burning cash with no revenue [2]. The MS market is intensely competitive with established therapies from Novartis (Kesimpta), Roche (Ocrevus), and Bristol-Myers Squibb (Zeposia) — even a successful trial must demonstrate superiority or non-inferiority to gain market share. IMU-856 development is paused pending financing, and the Phase 3 PPMS program will require years of additional investment [1]. At $1.17 per share, this is a speculative binary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Twin Phase 3 ENSURE-1 and ENSURE-2 top-line data readout in relapsing MS expected by end of 2026 — the defining event for the company [1]</w:t>
      </w:r>
    </w:p>
    <w:p>
      <w:pPr>
        <w:spacing w:before="40" w:after="40"/>
        <w:ind w:left="283"/>
      </w:pPr>
      <w:r>
        <w:rPr>
          <w:rFonts w:ascii="Calibri" w:hAnsi="Calibri"/>
          <w:b/>
          <w:color w:val="4A6B25"/>
          <w:sz w:val="20"/>
        </w:rPr>
        <w:t xml:space="preserve">2. </w:t>
      </w:r>
      <w:r>
        <w:rPr>
          <w:rFonts w:ascii="Calibri" w:hAnsi="Calibri"/>
          <w:b w:val="0"/>
          <w:color w:val="3A4A28"/>
          <w:sz w:val="20"/>
        </w:rPr>
        <w:t>NDA submission planned for mid-2027 with potential FDA approval in 2028, enabling commercial launch in a $28B+ MS market [1]</w:t>
      </w:r>
    </w:p>
    <w:p>
      <w:pPr>
        <w:spacing w:before="40" w:after="40"/>
        <w:ind w:left="283"/>
      </w:pPr>
      <w:r>
        <w:rPr>
          <w:rFonts w:ascii="Calibri" w:hAnsi="Calibri"/>
          <w:b/>
          <w:color w:val="4A6B25"/>
          <w:sz w:val="20"/>
        </w:rPr>
        <w:t xml:space="preserve">3. </w:t>
      </w:r>
      <w:r>
        <w:rPr>
          <w:rFonts w:ascii="Calibri" w:hAnsi="Calibri"/>
          <w:b w:val="0"/>
          <w:color w:val="3A4A28"/>
          <w:sz w:val="20"/>
        </w:rPr>
        <w:t>Initiation of Phase 3 PPMS program in 2026, expanding the addressable market beyond relapsing 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ENSURE trial failure would likely be terminal given $97M annual burn rate against $152M market cap and zero revenue [1][2]</w:t>
      </w:r>
    </w:p>
    <w:p>
      <w:pPr>
        <w:spacing w:before="40" w:after="40"/>
        <w:ind w:left="283"/>
      </w:pPr>
      <w:r>
        <w:rPr>
          <w:rFonts w:ascii="Calibri" w:hAnsi="Calibri"/>
          <w:b/>
          <w:color w:val="4A6B25"/>
          <w:sz w:val="20"/>
        </w:rPr>
        <w:t xml:space="preserve">2. </w:t>
      </w:r>
      <w:r>
        <w:rPr>
          <w:rFonts w:ascii="Calibri" w:hAnsi="Calibri"/>
          <w:b w:val="0"/>
          <w:color w:val="3A4A28"/>
          <w:sz w:val="20"/>
        </w:rPr>
        <w:t>Competitive MS market with established oral and injectable therapies — even successful trials must demonstrate differentiation against Kesimpta, Ocrevus, and Zeposia [1]</w:t>
      </w:r>
    </w:p>
    <w:p>
      <w:pPr>
        <w:spacing w:before="40" w:after="40"/>
        <w:ind w:left="283"/>
      </w:pPr>
      <w:r>
        <w:rPr>
          <w:rFonts w:ascii="Calibri" w:hAnsi="Calibri"/>
          <w:b/>
          <w:color w:val="4A6B25"/>
          <w:sz w:val="20"/>
        </w:rPr>
        <w:t xml:space="preserve">3. </w:t>
      </w:r>
      <w:r>
        <w:rPr>
          <w:rFonts w:ascii="Calibri" w:hAnsi="Calibri"/>
          <w:b w:val="0"/>
          <w:color w:val="3A4A28"/>
          <w:sz w:val="20"/>
        </w:rPr>
        <w:t>Capital requirements — continued pre-revenue cash burn may require dilutive equity raises before potential commercialization in 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and clinical trials require physical-world testing (patient enrollment, biological endpoints, FDA regulatory processes) that AI cannot replace [1]. Immunic's oral immunology therapies address biological mechanisms — AI may assist in drug discovery but cannot substitute for the clinical validation process. The regulatory moat (FDA approval requirements, patent protection on novel compounds) provides structural AI immunity. Small molecule development is less susceptible to AI disruption than information services or software. AI Opportunity (0/1): No AI revenue or AI-powered products. The company does not appear to use AI in its drug development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Immunic Year-End 2025 Financial Results and Corporate Update — $97.2M net loss, $82M R&amp;D, ENSURE trial timeline,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yfinance data for IMUX (Immunic),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