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INBS</w:t>
      </w:r>
      <w:r>
        <w:rPr>
          <w:rFonts w:ascii="Calibri" w:hAnsi="Calibri"/>
          <w:b/>
          <w:color w:val="1A2010"/>
          <w:sz w:val="40"/>
        </w:rPr>
        <w:t xml:space="preserve">  Intelligent Bio Solutions Inc.</w:t>
      </w:r>
    </w:p>
    <w:p>
      <w:pPr>
        <w:spacing w:after="120"/>
      </w:pPr>
      <w:r>
        <w:rPr>
          <w:rFonts w:ascii="Calibri" w:hAnsi="Calibri"/>
          <w:b/>
          <w:color w:val="6E8450"/>
          <w:sz w:val="18"/>
        </w:rPr>
        <w:t>GROWTH SLEEVE · 2026-04-14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Australia</w:t>
      </w:r>
    </w:p>
    <w:p>
      <w:pPr>
        <w:spacing w:after="80"/>
      </w:pPr>
      <w:r>
        <w:rPr>
          <w:rFonts w:ascii="Calibri" w:hAnsi="Calibri"/>
          <w:b w:val="0"/>
          <w:color w:val="3A4A28"/>
          <w:sz w:val="20"/>
        </w:rPr>
        <w:t>Intelligent Bio Solutions is a medical technology micro-cap pioneering non-invasive, real-time point-of-care testing solutions, anchored by its Intelligent Fingerprinting Drug Testing Solution that uses fingerprint sweat analysis. Revenue model is razor/razor-blade: reader placements drive recurring cartridge sales.</w:t>
      </w:r>
    </w:p>
    <w:p>
      <w:r>
        <w:rPr>
          <w:rFonts w:ascii="Calibri" w:hAnsi="Calibri"/>
          <w:b/>
          <w:color w:val="6E8450"/>
          <w:sz w:val="18"/>
        </w:rPr>
        <w:t>25 Employees · https://ibs.inc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INBS delivered record fiscal Q2 2026 revenue of $897K (up 48% YoY), with reader sales surging 104% YoY and H1 FY2026 revenue of $2.0M (up 36% YoY) [1][2]. The fingerprint drug-testing platform represents a genuine technical innovation that has gained commercial traction. AI Deployment (0/2): No material AI deployment evident in product or operations. Market Share (0/2): Tiny niche player with $4.9M market cap and no meaningful share data; H1 revenue of $2M indicates pre-scale commercial stage [3]. Pipeline (1/2): Manufacturing partnership with Syrma Johari MedTech to scale production and active FDA progress on cartridge expansion are concrete near-term catalysts [3]. R&amp;D Intensity (1/1): As a development-stage medtech, R&amp;D is meaningful relative to revenue, though most spend is operational rather than transformational.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company's mission to deliver non-invasive, real-time, portable point-of-care testing connects technology to a clear human benefit (drug-screening accessibility, occupational safety, criminal justice diversion). It is specific and thoughtful but unproven through cycles [3]. Community Impact (0/2): No material charitable foundation or community programs disclosed. Employee Retention (0/2): No retention data; with only ~25 employees and recent reverse stock split / dilutive financings, organizational stability is uncertain [4]. Insider Buying (1/2): CEO Harry Simeonidis (3+ year tenure, ex-GE Healthcare ANZ President) participated in the $10M private placement, signaling some skin in the game though the dilutive structure offset the positive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126,302 shares x stock price of $2.46 = $310,703 in dollar liquidity, well below the $1,000,000 IOWN floor [3]. Infrastructure score forced to 0 regardless of operating metrics. Underlying financials confirm fragility: market cap of just $4.9M, ROE of -150%, profit margin 0%, and a Q4 2025 reverse stock split plus $10M dilutive private placement to maintain Nasdaq listing compliance [4]. Forward P/E of 7.0 is meaningless in the context of negative GAAP earnings. Revenue growth of 47.6% YoY is encouraging but on a tiny base of ~$2M H1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INBS shows pockets of purpose-driven thinking but is dominated by survival-mode capital raises, reverse splits, and Nasdaq listing pressure. The company is too early and too undercapitalized to demonstrate the multi-decade consistency Sinek values, and recent dilutive financing decisions reflect financial necessity more than infinite-game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a genuine cause — making non-invasive drug testing accessible — but it is not yet validated by execution at scale (1 pt). The mission is distinctive but the company is too young to have proven endurance through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Stable C-suite (Simeonidis 3+ years), no obvious cultural red flags, but with ~25 employees there is little organizational depth to evaluate (1 pt). No evidence of exceptional empowerment culture either way.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commentary focuses on the company's own milestones rather than learning from competitors like Quest Diagnostics or LabCorp's drug-testing arms. Limited evidence of an infinite competitive mindset (0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evolved from its early diagnostics roots into the fingerprint platform and continues to extend the cartridge menu, showing some willingness to adapt (1 pt). The pivot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decisions — 1-for-10 reverse stock split, $10M dilutive private placement — are about preserving Nasdaq compliance and basic survival rather than courageous long-term bets [4]. No examples of sacrificing near-term capital for long-term capability (0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INBS is delivering accelerating commercial traction in fingerprint-based drug testing — H1 fiscal 2026 revenue of $2.0M up 36% YoY, with Q2 specifically up 48% YoY and reader sales doubling (104%) [1][2]. Gross margin expanded to 49% from 39% on operational leverage, and the razor/razor-blade model (cartridges now 58% of revenue) is starting to compound. The Syrma Johari MedTech manufacturing partnership and ongoing FDA progress create real near-term catalysts, and the addressable market in workplace and criminal justice drug testing is genuinely large. AI cannot disrupt the underlying chemistry, giving the company structural protection from the dominant technology risk facing healthcare diagnostics today.</w:t>
      </w:r>
    </w:p>
    <w:p>
      <w:pPr>
        <w:spacing w:after="120"/>
      </w:pPr>
      <w:r>
        <w:rPr>
          <w:rFonts w:ascii="Calibri" w:hAnsi="Calibri"/>
          <w:b w:val="0"/>
          <w:color w:val="3A4A28"/>
          <w:sz w:val="20"/>
        </w:rPr>
        <w:t>The bear case is severe and IOWN-disqualifying. Liquidity is below the IOWN floor: 126K shares per day at ~$2.46 = ~$311K of daily dollar volume, well under the $1M minimum required to trade in size [3]. The company executed a 1-for-10 reverse stock split and a $10M dilutive private placement to maintain Nasdaq listing compliance, which destroys per-share value and signals capital-structure stress [4]. ROE is -150%, profit margin is 0%, and the entire enterprise value is $4.9M — smaller than the cost of a single late-stage clinical trial. Revenue is growing fast in percentage terms but tiny in dollar terms; the company has years of cash burn ahead before breakeven and will likely need additional dilutive raises. This is a venture-stage equity, not a screenable IOWN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reader-installed-base growth driving recurring cartridge revenue at 49% gross margin, with Q2 FY2026 reader sales already up 104% YoY [2]</w:t>
      </w:r>
    </w:p>
    <w:p>
      <w:pPr>
        <w:spacing w:before="40" w:after="40"/>
        <w:ind w:left="283"/>
      </w:pPr>
      <w:r>
        <w:rPr>
          <w:rFonts w:ascii="Calibri" w:hAnsi="Calibri"/>
          <w:b/>
          <w:color w:val="4A6B25"/>
          <w:sz w:val="20"/>
        </w:rPr>
        <w:t xml:space="preserve">2. </w:t>
      </w:r>
      <w:r>
        <w:rPr>
          <w:rFonts w:ascii="Calibri" w:hAnsi="Calibri"/>
          <w:b w:val="0"/>
          <w:color w:val="3A4A28"/>
          <w:sz w:val="20"/>
        </w:rPr>
        <w:t>Syrma Johari MedTech manufacturing partnership scaling production capacity ahead of FDA cartridge menu expansion [3]</w:t>
      </w:r>
    </w:p>
    <w:p>
      <w:pPr>
        <w:spacing w:before="40" w:after="40"/>
        <w:ind w:left="283"/>
      </w:pPr>
      <w:r>
        <w:rPr>
          <w:rFonts w:ascii="Calibri" w:hAnsi="Calibri"/>
          <w:b/>
          <w:color w:val="4A6B25"/>
          <w:sz w:val="20"/>
        </w:rPr>
        <w:t xml:space="preserve">3. </w:t>
      </w:r>
      <w:r>
        <w:rPr>
          <w:rFonts w:ascii="Calibri" w:hAnsi="Calibri"/>
          <w:b w:val="0"/>
          <w:color w:val="3A4A28"/>
          <w:sz w:val="20"/>
        </w:rPr>
        <w:t>Potential FDA clearance of additional drug panels expanding the addressable market in clinical and law-enforcement settings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below IOWN floor ($311K/day dollar volume vs. $1M minimum) makes the position untradeable for institutional sizing [3]</w:t>
      </w:r>
    </w:p>
    <w:p>
      <w:pPr>
        <w:spacing w:before="40" w:after="40"/>
        <w:ind w:left="283"/>
      </w:pPr>
      <w:r>
        <w:rPr>
          <w:rFonts w:ascii="Calibri" w:hAnsi="Calibri"/>
          <w:b/>
          <w:color w:val="4A6B25"/>
          <w:sz w:val="20"/>
        </w:rPr>
        <w:t xml:space="preserve">2. </w:t>
      </w:r>
      <w:r>
        <w:rPr>
          <w:rFonts w:ascii="Calibri" w:hAnsi="Calibri"/>
          <w:b w:val="0"/>
          <w:color w:val="3A4A28"/>
          <w:sz w:val="20"/>
        </w:rPr>
        <w:t>Capital structure fragility — recent 1-for-10 reverse stock split and $10M dilutive private placement to maintain Nasdaq compliance, with more dilution likely before cash-flow breakeven [4]</w:t>
      </w:r>
    </w:p>
    <w:p>
      <w:pPr>
        <w:spacing w:before="40" w:after="40"/>
        <w:ind w:left="283"/>
      </w:pPr>
      <w:r>
        <w:rPr>
          <w:rFonts w:ascii="Calibri" w:hAnsi="Calibri"/>
          <w:b/>
          <w:color w:val="4A6B25"/>
          <w:sz w:val="20"/>
        </w:rPr>
        <w:t xml:space="preserve">3. </w:t>
      </w:r>
      <w:r>
        <w:rPr>
          <w:rFonts w:ascii="Calibri" w:hAnsi="Calibri"/>
          <w:b w:val="0"/>
          <w:color w:val="3A4A28"/>
          <w:sz w:val="20"/>
        </w:rPr>
        <w:t>Tiny scale ($4.9M market cap, ~$2M H1 revenue) means a single failed pilot, slow FDA decision, or large-customer churn could be existential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INBS's core business is physical fingerprint-cartridge drug testing for workplace, criminal justice, and clinical settings. AI cannot replace the chemistry of detecting drug metabolites in fingerprint sweat or the regulatory chain-of-custody requirements that come with drug screening. Analysts have not flagged AI as a disruption risk for this business model [3]. AI Opportunity (0/1): No quantifiable AI revenue or AI-branded product; the company's reader uses immunoassay technology rather than ML-based diagnostics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Intelligent Bio Solutions Q2 FY2026 Earnings Release — record $897K revenue up 48% YoY, February 12, 2026</w:t>
      </w:r>
    </w:p>
    <w:p>
      <w:pPr>
        <w:spacing w:before="20" w:after="20"/>
        <w:ind w:left="170"/>
      </w:pPr>
      <w:r>
        <w:rPr>
          <w:rFonts w:ascii="Calibri" w:hAnsi="Calibri"/>
          <w:b/>
          <w:color w:val="4A6B25"/>
          <w:sz w:val="15"/>
        </w:rPr>
        <w:t xml:space="preserve">2. </w:t>
      </w:r>
      <w:r>
        <w:rPr>
          <w:rFonts w:ascii="Calibri" w:hAnsi="Calibri"/>
          <w:b w:val="0"/>
          <w:color w:val="3A4A28"/>
          <w:sz w:val="17"/>
        </w:rPr>
        <w:t>Intelligent Bio Solutions H1 FY2026 results — $2.01M revenue up 36% YoY, reader sales up 104%, February 2026</w:t>
      </w:r>
    </w:p>
    <w:p>
      <w:pPr>
        <w:spacing w:before="20" w:after="20"/>
        <w:ind w:left="170"/>
      </w:pPr>
      <w:r>
        <w:rPr>
          <w:rFonts w:ascii="Calibri" w:hAnsi="Calibri"/>
          <w:b/>
          <w:color w:val="4A6B25"/>
          <w:sz w:val="15"/>
        </w:rPr>
        <w:t xml:space="preserve">3. </w:t>
      </w:r>
      <w:r>
        <w:rPr>
          <w:rFonts w:ascii="Calibri" w:hAnsi="Calibri"/>
          <w:b w:val="0"/>
          <w:color w:val="3A4A28"/>
          <w:sz w:val="17"/>
        </w:rPr>
        <w:t>IBS company website and Stocktitan / Globe Newswire coverage of FY2026 progress,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INBS Nasdaq deficiency notice, reverse stock split, and $10M private placement, late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INBS,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