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INCY</w:t>
      </w:r>
      <w:r>
        <w:rPr>
          <w:rFonts w:ascii="Calibri" w:hAnsi="Calibri"/>
          <w:b/>
          <w:color w:val="1A2010"/>
          <w:sz w:val="40"/>
        </w:rPr>
        <w:t xml:space="preserve">  Incyte Corporation</w:t>
      </w:r>
    </w:p>
    <w:p>
      <w:pPr>
        <w:spacing w:after="120"/>
      </w:pPr>
      <w:r>
        <w:rPr>
          <w:rFonts w:ascii="Calibri" w:hAnsi="Calibri"/>
          <w:b/>
          <w:color w:val="6E8450"/>
          <w:sz w:val="18"/>
        </w:rPr>
        <w:t>GROWTH SLEEVE · 2026-04-20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Incyte Corporation is a biopharmaceutical company focused on the discovery, development, and commercialization of therapeutics for oncology and inflammation. Core products include Jakafi (myelofibrosis, polycythemia vera), Opzelura (atopic dermatitis), and a deep pipeline of JAK inhibitors and novel oncology compounds. The company sells globally across the U.S., Europe, Canada, and Japan through specialty pharmacies and hospital distributors.</w:t>
      </w:r>
    </w:p>
    <w:p>
      <w:r>
        <w:rPr>
          <w:rFonts w:ascii="Calibri" w:hAnsi="Calibri"/>
          <w:b/>
          <w:color w:val="6E8450"/>
          <w:sz w:val="18"/>
        </w:rPr>
        <w:t>2,844 Employees · https://www.incyte.com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Incyte successfully launched Opzelura (ruxolitinib cream) for atopic dermatitis, growing it to $750-790M projected 2026 sales, and expanded Jakafi into new indications — creating meaningful new revenue streams beyond the original myelofibrosis franchise [1][2]. The non-Jakafi portfolio reached $1.26B in 2025, up 53% YoY, validating diversification execution. AI Deployment (2/2): Incyte announced an $885M strategic AI collaboration with Genesis Therapeutics in February 2025, utilizing Genesis' GEMS (Genesis Exploration of Molecular Space) AI platform for small molecule drug discovery and optimization — a quantifiable, shipping AI partnership with specific financial commitment [3]. Market Share Leadership (1/2): Jakafi maintains dominant share in myelofibrosis and polycythemia vera, and Opzelura is a leading topical JAK inhibitor in dermatology, though Incyte competes against much larger pharma companies (AbbVie, Pfizer) across its therapeutic areas [1]. Product Pipeline (1/2): Deep clinical pipeline including povorcitinib (hidradenitis suppurativa, vitiligo), INCA033989 (essential thrombocythemia), and multiple oncology candidates, though timelines for pivotal readouts are mixed [1][2]. R&amp;D Intensity (1/1): R&amp;D spending is substantial for a mid-cap biotech, supporting a broad pipeline across hematology, oncology, and dermatology.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Incyte's purpose centers on improving patients' lives through innovative therapeutics, particularly in areas of high unmet medical need. This is clear and identifies who the company serves, but is not distinctive from other biopharma mission statements — interchangeable with many peers [4]. Community Impact (1/2): Incyte's Global Responsibility initiative covers environmental, social, and governance commitments, with patient access programs and community engagement, though specific charitable dollar amounts and distinctive programs beyond standard pharma industry practices are limited [5]. Employee Retention (2/2): Glassdoor rating of 4.2/5 (193 reviews) is strong for the industry; 79% of employees recommend working at Incyte; compensation rated 4.5/5. Former CEO Herve Hoppenot served 11 years (2014-2025), and employees cite the science-driven mission as a reason to stay [6]. Insider Buying (1/2): Baker Bros. Advisors (10%+ beneficial owner) received stock awards, and CEO Bill Meury received 125,000 shares in April 2026. However, Officer Cagnoni sold $3.6M in shares in February-March 2026, creating mixed insider signals overall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Incyte delivers exceptional infrastructure across every measured metric. D/E of 1.1% is essentially debt-free — the company funds operations entirely from cash flow [7]. ROE of 29.9% far exceeds the 15% target, profit margin of 25.0% exceeds the 20% target, and revenue grew 27.8% YoY to $5.14B with 3-year CAGR of 14.9% — all scoring perfectly [1][7]. Forward P/E of 11.2x is well below the 20x target, and PEG of 0.35 is exceptionally low, indicating the market dramatically undervalues Incyte's growth trajectory [7]. Net income surged from $33M in 2024 to $1.29B in 2025, demonstrating massive operating leverage as the product portfolio scales. Liquidity is excellent at $165M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Incyte demonstrates meaningful infinite-game qualities through its 35-year history of scientific persistence, successful pivot from genomics to therapeutics, and long-tenured leadership. The company's willingness to invest heavily in R&amp;D through unprofitable years (2003-2022) before reaching scale demonstrates genuine long-term orientation. However, the recent CEO transition from Hoppenot to Meury (June 2025) and some Glassdoor concerns about 'fragmented culture' and favoritism suggest the organizational foundation, while strong, faces testing.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Incyte's dedication to improving patient lives through innovative therapeutics in areas of high unmet need is genuine and has been validated by decades of R&amp;D investment. The company invested through years of losses before Jakafi launched in 2011, demonstrating that the commitment to scientific discovery preceded profitability [1][4]. However, the purpose statement is not uniquely distinctive from other biopharma companies — 'improving patients' lives' is the standard articulation across the industry.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4.2/5 is above average, with 79% recommending the company and strong compensation ratings (4.5/5). However, reviews flag a 'deeply fragmented' culture with 'cliques' and 'uneven accountability,' suggesting trust varies by team [6]. Former CEO Hoppenot's 11-year tenure provided stability, but the transition to Meury in June 2025 introduces leadership adjustment risk.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Incyte's $885M AI collaboration with Genesis Therapeutics explicitly acknowledges that AI-native competitors are advancing drug discovery capabilities that Incyte needs to match — a clear example of recognizing rivals' strengths and adapting rather than dismissing them [3]. The company's collaboration strategy (Novartis, Lilly, Syndax partnerships) reflects a mindset of learning from and working with industry peers rather than competing to destroy.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Incyte fundamentally reinvented itself from Incyte Genomics (a genomics data company) to Incyte Corporation (a therapeutics company) in 2003, abandoning its original business model entirely. This was a genuinely transformative pivot driven by scientific opportunity rather than desperation [1]. Since then, the evolution has been incremental — expanding from hematology to oncology to dermatology within the same biopharma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Incyte invested in R&amp;D for nearly two decades before Jakafi reached commercial scale, burning cash through multiple market cycles without abandoning the scientific mission. The decision to pursue ruxolitinib cream (Opzelura) for dermatology — a costly bet into a new therapeutic area against AbbVie and Pfizer — while simultaneously funding a deep pipeline demonstrates a pattern of choosing long-term capability over short-term earnings optimization [1][2]. The $885M Genesis AI commitment extends this pattern into drug discovery innovation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Incyte Corporation is a rare mid-cap biopharma delivering both explosive growth and deep value. Revenue surged 27.8% YoY to $5.14B with net income leaping from $33M to $1.29B — a 40x increase demonstrating massive operating leverage as Jakafi, Opzelura, and the broader portfolio scale [1][7]. At 11.2x forward P/E and 0.35 PEG, the stock trades at a fraction of biotech peers despite 25% profit margins, 30% ROE, and an essentially debt-free balance sheet (D/E 1.1%) [7]. The $885M Genesis AI partnership positions Incyte at the frontier of AI-driven drug discovery, while Opzelura's projected $750-790M in 2026 sales validates the dermatology expansion [2][3]. Management guides 10-13% revenue growth for 2026, conservative given the momentum trajectory.</w:t>
      </w:r>
    </w:p>
    <w:p>
      <w:pPr>
        <w:spacing w:after="120"/>
      </w:pPr>
      <w:r>
        <w:rPr>
          <w:rFonts w:ascii="Calibri" w:hAnsi="Calibri"/>
          <w:b w:val="0"/>
          <w:color w:val="3A4A28"/>
          <w:sz w:val="20"/>
        </w:rPr>
        <w:t>The bear case centers on Jakafi concentration risk and pipeline execution. Jakafi remains the dominant revenue driver, and patent expiration or competitive JAK inhibitors from AbbVie, Pfizer, or Bristol-Myers Squibb could erode the franchise [1]. The jump from $33M to $1.29B in net income (2024 to 2025) may reflect one-time items rather than sustainable profitability improvement — investors should scrutinize the quality of the earnings surge. CEO transition from the long-tenured Herve Hoppenot to Bill Meury (June 2025) creates strategic continuity risk, and Glassdoor reviews citing 'fragmented culture' suggest the organization may struggle through the leadership change [6]. The broad pipeline carries binary clinical trial risks — any major Phase 3 failure (povorcitinib, INCA033989) could reset the growth narrative. Officer Cagnoni's $3.6M in sales in early 2026 warrants monitoring as a potential insider conviction signal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Opzelura scaling to $750-790M in 2026 sales with potential label expansion into new dermatologic indications (hidradenitis suppurativa, vitiligo), diversifying revenue away from Jakafi concentration</w:t>
      </w:r>
    </w:p>
    <w:p>
      <w:pPr>
        <w:spacing w:before="40" w:after="40"/>
        <w:ind w:left="283"/>
      </w:pPr>
      <w:r>
        <w:rPr>
          <w:rFonts w:ascii="Calibri" w:hAnsi="Calibri"/>
          <w:b/>
          <w:color w:val="4A6B25"/>
          <w:sz w:val="20"/>
        </w:rPr>
        <w:t xml:space="preserve">2. </w:t>
      </w:r>
      <w:r>
        <w:rPr>
          <w:rFonts w:ascii="Calibri" w:hAnsi="Calibri"/>
          <w:b w:val="0"/>
          <w:color w:val="3A4A28"/>
          <w:sz w:val="20"/>
        </w:rPr>
        <w:t>Genesis Therapeutics AI collaboration ($885M commitment) advancing novel small molecule candidates through GEMS platform, potentially accelerating pipeline timelines and reducing discovery costs</w:t>
      </w:r>
    </w:p>
    <w:p>
      <w:pPr>
        <w:spacing w:before="40" w:after="40"/>
        <w:ind w:left="283"/>
      </w:pPr>
      <w:r>
        <w:rPr>
          <w:rFonts w:ascii="Calibri" w:hAnsi="Calibri"/>
          <w:b/>
          <w:color w:val="4A6B25"/>
          <w:sz w:val="20"/>
        </w:rPr>
        <w:t xml:space="preserve">3. </w:t>
      </w:r>
      <w:r>
        <w:rPr>
          <w:rFonts w:ascii="Calibri" w:hAnsi="Calibri"/>
          <w:b w:val="0"/>
          <w:color w:val="3A4A28"/>
          <w:sz w:val="20"/>
        </w:rPr>
        <w:t>Continued non-Jakafi portfolio momentum — $1.26B in 2025 growing 53% YoY — demonstrating the company can build a diversified multi-product franchise rather than remaining a one-drug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Jakafi franchise risk from patent expiration and emerging JAK inhibitor competition from AbbVie (upadacitinib), Pfizer (ritlecitinib), and generic entrants could compress the company's largest revenue stream</w:t>
      </w:r>
    </w:p>
    <w:p>
      <w:pPr>
        <w:spacing w:before="40" w:after="40"/>
        <w:ind w:left="283"/>
      </w:pPr>
      <w:r>
        <w:rPr>
          <w:rFonts w:ascii="Calibri" w:hAnsi="Calibri"/>
          <w:b/>
          <w:color w:val="4A6B25"/>
          <w:sz w:val="20"/>
        </w:rPr>
        <w:t xml:space="preserve">2. </w:t>
      </w:r>
      <w:r>
        <w:rPr>
          <w:rFonts w:ascii="Calibri" w:hAnsi="Calibri"/>
          <w:b w:val="0"/>
          <w:color w:val="3A4A28"/>
          <w:sz w:val="20"/>
        </w:rPr>
        <w:t>The $33M-to-$1.29B net income jump (2024-2025) may overstate sustainable profitability; if 2025 included one-time items or favorable comparisons, 2026 earnings could disappoint consensus $6.59 EPS estimates</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11-year veteran Hoppenot to new CEO Bill Meury (June 2025) during a critical scaling period creates strategic execution risk; pipeline decisions and capital allocation priorities may shift under new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Incyte's core business — discovering, developing, and commercializing novel therapeutics — requires wet-lab chemistry, clinical trials, FDA regulatory navigation, and physician relationships that AI cannot substitute. Drug manufacturing and distribution are physical-world operations immune to AI displacement [1]. However, AI is accelerating drug discovery for competitors, potentially shortening Incyte's first-mover advantages in JAK inhibition and enabling well-funded rivals to develop competing molecules faster. AI-native drug discovery companies (Recursion, Relay Therapeutics) could erode Incyte's pipeline advantage over time. The regulatory moat (10+ year development cycles, patent protection) provides meaningful near-term defense. AI Opportunity (1/1): The $885M Genesis Therapeutics AI collaboration using the GEMS platform for small molecule discovery represents quantifiable AI-generated value, directly leveraging AI to enhance Incyte's core drug discovery pipeline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Incyte Corporation 10-K Annual Report, FY2025 — revenue $5.14B (+27.8% YoY), net income $1.29B, Jakafi and Opzelura performance</w:t>
      </w:r>
    </w:p>
    <w:p>
      <w:pPr>
        <w:spacing w:before="20" w:after="20"/>
        <w:ind w:left="170"/>
      </w:pPr>
      <w:r>
        <w:rPr>
          <w:rFonts w:ascii="Calibri" w:hAnsi="Calibri"/>
          <w:b/>
          <w:color w:val="4A6B25"/>
          <w:sz w:val="15"/>
        </w:rPr>
        <w:t xml:space="preserve">2. </w:t>
      </w:r>
      <w:r>
        <w:rPr>
          <w:rFonts w:ascii="Calibri" w:hAnsi="Calibri"/>
          <w:b w:val="0"/>
          <w:color w:val="3A4A28"/>
          <w:sz w:val="17"/>
        </w:rPr>
        <w:t>Incyte 2026 Guidance — revenue growth 10-13%, Opzelura $750-790M, non-Jakafi portfolio $1.26B (+53% YoY), adjusted EPS $6.59 consensus</w:t>
      </w:r>
    </w:p>
    <w:p>
      <w:pPr>
        <w:spacing w:before="20" w:after="20"/>
        <w:ind w:left="170"/>
      </w:pPr>
      <w:r>
        <w:rPr>
          <w:rFonts w:ascii="Calibri" w:hAnsi="Calibri"/>
          <w:b/>
          <w:color w:val="4A6B25"/>
          <w:sz w:val="15"/>
        </w:rPr>
        <w:t xml:space="preserve">3. </w:t>
      </w:r>
      <w:r>
        <w:rPr>
          <w:rFonts w:ascii="Calibri" w:hAnsi="Calibri"/>
          <w:b w:val="0"/>
          <w:color w:val="3A4A28"/>
          <w:sz w:val="17"/>
        </w:rPr>
        <w:t>Incyte and Genesis Therapeutics AI Collaboration — $885M strategic partnership, GEMS platform for small molecule discovery, February 2025</w:t>
      </w:r>
    </w:p>
    <w:p>
      <w:pPr>
        <w:spacing w:before="20" w:after="20"/>
        <w:ind w:left="170"/>
      </w:pPr>
      <w:r>
        <w:rPr>
          <w:rFonts w:ascii="Calibri" w:hAnsi="Calibri"/>
          <w:b/>
          <w:color w:val="4A6B25"/>
          <w:sz w:val="15"/>
        </w:rPr>
        <w:t xml:space="preserve">4. </w:t>
      </w:r>
      <w:r>
        <w:rPr>
          <w:rFonts w:ascii="Calibri" w:hAnsi="Calibri"/>
          <w:b w:val="0"/>
          <w:color w:val="3A4A28"/>
          <w:sz w:val="17"/>
        </w:rPr>
        <w:t>Incyte Corporate Website — incyte.com, Global Responsibility initiative, patient access programs</w:t>
      </w:r>
    </w:p>
    <w:p>
      <w:pPr>
        <w:spacing w:before="20" w:after="20"/>
        <w:ind w:left="170"/>
      </w:pPr>
      <w:r>
        <w:rPr>
          <w:rFonts w:ascii="Calibri" w:hAnsi="Calibri"/>
          <w:b/>
          <w:color w:val="4A6B25"/>
          <w:sz w:val="15"/>
        </w:rPr>
        <w:t xml:space="preserve">5. </w:t>
      </w:r>
      <w:r>
        <w:rPr>
          <w:rFonts w:ascii="Calibri" w:hAnsi="Calibri"/>
          <w:b w:val="0"/>
          <w:color w:val="3A4A28"/>
          <w:sz w:val="17"/>
        </w:rPr>
        <w:t>Incyte 2024 Global Responsibility Report — ESG disclosures, SASB framework, environmental and social commitments</w:t>
      </w:r>
    </w:p>
    <w:p>
      <w:pPr>
        <w:spacing w:before="20" w:after="20"/>
        <w:ind w:left="170"/>
      </w:pPr>
      <w:r>
        <w:rPr>
          <w:rFonts w:ascii="Calibri" w:hAnsi="Calibri"/>
          <w:b/>
          <w:color w:val="4A6B25"/>
          <w:sz w:val="15"/>
        </w:rPr>
        <w:t xml:space="preserve">6. </w:t>
      </w:r>
      <w:r>
        <w:rPr>
          <w:rFonts w:ascii="Calibri" w:hAnsi="Calibri"/>
          <w:b w:val="0"/>
          <w:color w:val="3A4A28"/>
          <w:sz w:val="17"/>
        </w:rPr>
        <w:t>Glassdoor — Incyte Reviews (193 reviews), 4.2/5 rating, 79% recommend, compensation 4.5/5,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INCY key statistics (D/E 1.1%, ROE 29.9%, profit margin 25.0%, Forward P/E 11.2x, PEG 0.35), insider transactions,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