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INDO</w:t>
      </w:r>
      <w:r>
        <w:rPr>
          <w:rFonts w:ascii="Calibri" w:hAnsi="Calibri"/>
          <w:b/>
          <w:color w:val="1A2010"/>
          <w:sz w:val="40"/>
        </w:rPr>
        <w:t xml:space="preserve">  Indonesia Energy Corporation Limited</w:t>
      </w:r>
    </w:p>
    <w:p>
      <w:pPr>
        <w:spacing w:after="120"/>
      </w:pPr>
      <w:r>
        <w:rPr>
          <w:rFonts w:ascii="Calibri" w:hAnsi="Calibri"/>
          <w:b/>
          <w:color w:val="6E8450"/>
          <w:sz w:val="18"/>
        </w:rPr>
        <w:t>GROWTH SLEEVE · 2026-04-10 · Inspire: 20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NYSE · Indonesia</w:t>
      </w:r>
    </w:p>
    <w:p>
      <w:pPr>
        <w:spacing w:after="80"/>
      </w:pPr>
      <w:r>
        <w:rPr>
          <w:rFonts w:ascii="Calibri" w:hAnsi="Calibri"/>
          <w:b w:val="0"/>
          <w:color w:val="3A4A28"/>
          <w:sz w:val="20"/>
        </w:rPr>
        <w:t>Indonesia Energy Corporation Limited is a micro-cap oil and gas exploration and production company operating in Indonesia. Its principal assets include the Kruh Block, a producing block covering 258 square kilometers in South Sumatra, and the Citarum Block, an exploration block covering approximately 3,925 square kilometers in onshore West Java. The company was incorporated in 2018 and is headquartered in Jakarta.</w:t>
      </w:r>
    </w:p>
    <w:p>
      <w:r>
        <w:rPr>
          <w:rFonts w:ascii="Calibri" w:hAnsi="Calibri"/>
          <w:b/>
          <w:color w:val="6E8450"/>
          <w:sz w:val="18"/>
        </w:rPr>
        <w:t>31 Employees · https://indo-energy.com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Indonesia Energy has not launched any meaningful new products or achieved business model transformations in the past 5 years — the company operates the same two blocks (Kruh producing, Citarum exploration) with declining revenue from $4.1M in 2022 to $2.3M trailing, a 44% contraction [1]. No new production assets have been brought online. AI Deployment (0/2): No evidence of AI deployment or AI-driven efficiency gains; this is a 31-person oil and gas operator with no technology differentiation. Market Share (0/2): Indonesia Energy is a negligible participant in Indonesia's oil and gas sector with $2.3M in annual revenue, operating a single small producing block. The company has no meaningful market position or competitive differentiation [1]. Pipeline (1/2): The Citarum Block represents a large exploration acreage position (3,925 sq km) with potential upside, but no specific development timelines or production targets have been announced with visibility into revenue generation. R&amp;D Intensity (1/1): Exploration spending on Citarum Block is consistent with E&amp;P industry norms for a company of this size.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Indonesia Energy describes itself as an 'Integrated Energy Resources Development Company' aligned with Indonesia's 'Golden Indonesia 2045' vision for economic transformation, but this is generic branding rather than a distinctive purpose — it could describe any Indonesian energy company [2]. The mission does not articulate a deeper purpose beyond resource extraction. Community Impact (1/2): The company operates in rural South Sumatra, providing some local employment and economic activity with 31 employees; its alignment with Indonesia's energy self-sufficiency goals contributes modestly to national development. Employee Retention (0/2): No Glassdoor reviews or employee retention data available for a company of this size (31 employees). The company is too small for meaningful employee culture assessment. Insider Buying (0/2): CEO Dr. Wirawan Jusuf serves as both Chairman and CEO and controls the largest shareholder position, creating a concentrated governance structure, but no evidence of additional open-market insider buying was found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Indonesia Energy's financial profile is deeply distressed across nearly every metric. The sole positive is debt-to-equity of just 3.2%, scoring a perfect 1.0 — the company has only $712K in debt against $8.6M in cash, providing a modest cash cushion [3]. Every other metric scores 0.0: ROE of -40.4% reflects heavy losses on a small equity base; revenue declined 25.9% YoY from an already tiny $2.7M to $2.3M trailing; 5-year revenue CAGR is approximately -5% as production has stagnated; forward P/E is negative at -4.4x reflecting expected continued losses; and profit margin is 0% (breakeven at best, with some sources citing -308% margins) [1][3]. Operating cash flow is negative at -$4.9M and free cash flow is -$1.6M annually, meaning the company burns through its $8.6M cash reserve at a rate that gives roughly 2 years of runway before capital is needed. The $45.6M market cap on $2.3M revenue yields a price-to-sales ratio of 31.7x — extraordinarily expensive for a loss-making micro-cap E&amp;P company. Liquidity floor cleared at $9.4M daily turnover, though this is driven by speculative retail trading.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Indonesia Energy Corporation exhibits predominantly finite game characteristics — a tiny E&amp;P company focused on extracting value from two concession blocks without a broader vision for the future of energy. The combined Chairman/CEO role, declining revenue, and lack of strategic evolution suggest a company managing assets for near-term returns rather than building an enduring enterprise. The 31-employee scale and single-asset dependency make infinite game thinking largely irrelevant.</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Indonesia Energy does not articulate a Just Cause. The company exists to extract oil from its Kruh Block concession and potentially develop its Citarum exploration block. Alignment with Indonesia's 'Golden 2045' vision is aspirational branding rather than a purpose that shapes strategic decisions [2]. There is no evidence of a vision that extends beyond resource extraction and financial returns to shareholders. This is a finite player by definition — the oil will eventually run out, and the company has articulated no vision for what comes after.</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31 employees and no publicly available employee satisfaction data, it is impossible to assess organizational trust at scale. The combined Chairman/CEO structure with Dr. Jusuf controlling the largest shareholder position creates a concentrated power dynamic that could either foster tight-knit loyalty or suppress dissent — there is no evidence either way [2]. The lack of transparency about organizational culture is itself a concern for a publicly traded company.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Indonesia Energy does not meaningfully engage with competitive dynamics. The company operates a single producing block with no discussion of how it benchmarks against peer E&amp;P operators in Indonesia or globally. There is no evidence of management acknowledging competitors' strengths or using competitive pressure to improve operations. The company appears to operate in isolation rather than in competitive dialogue.</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Indonesia Energy has not evolved its business model since incorporation in 2018. The company continues to operate the same two blocks with the same strategy — produce from Kruh, explore Citarum. There is no evidence of diversification into renewable energy, gas processing, or other adjacent markets despite Indonesia's energy transition goals. The company appears rigid in its approach, and the declining revenue trajectory suggests the current model is not adapting to market conditions.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decisions. The company's revenue has declined from $4.1M to $2.3M over three years without any visible strategic response — no new asset acquisitions, no operational restructuring, no pivot to address the deterioration [1]. The combined Chairman/CEO structure and controlling shareholder position suggests decisions are made to preserve the current arrangement rather than to make bold bets for the company's future.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Indonesia Energy Corporation offers a speculative option on Indonesian oil and gas assets at a $45.6M market cap with $8.6M in cash and minimal debt ($712K, D/E of 3.2%) [3]. The Citarum Block covers 3,925 square kilometers of onshore West Java exploration acreage, representing significant upside if hydrocarbon discoveries materialize. The company benefits from Indonesia's growing energy demand and the NDAA-era focus on energy security in Southeast Asia. Average daily trading volume of 3.1M shares provides surprising liquidity for a company of this size, and the stock has demonstrated volatility that creates trading opportunities [1].</w:t>
      </w:r>
    </w:p>
    <w:p>
      <w:pPr>
        <w:spacing w:after="120"/>
      </w:pPr>
      <w:r>
        <w:rPr>
          <w:rFonts w:ascii="Calibri" w:hAnsi="Calibri"/>
          <w:b w:val="0"/>
          <w:color w:val="3A4A28"/>
          <w:sz w:val="20"/>
        </w:rPr>
        <w:t>The bear case is overwhelming. Revenue has declined 44% from $4.1M in 2022 to $2.3M trailing, reflecting production decline at the Kruh Block without offsetting growth from exploration [1]. The company is deeply unprofitable with ROE of -40%, operating cash burn of -$4.9M annually, and only $8.6M in cash — giving approximately 2 years of runway before the company needs external capital [3]. The $45.6M market cap on $2.3M revenue yields a price-to-sales ratio of 31.7x, an absurd valuation for a declining micro-cap E&amp;P company with no growth visibility. With only 31 employees and a single producing block, Indonesia Energy has extreme concentration risk — any operational disruption, regulatory change, or commodity price decline could eliminate the entire revenue base. The combined Chairman/CEO/controlling shareholder structure creates governance concerns for minority investors. Oil and gas exploration is inherently high-risk, and the Citarum Block remains unproven with no disclosed development timeline or resource estimates. This appears to be a speculative shell with limited fundamental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Citarum Block exploration success — a meaningful hydrocarbon discovery on the 3,925 sq km West Java acreage could transform the company's asset base and justify the current market cap</w:t>
      </w:r>
    </w:p>
    <w:p>
      <w:pPr>
        <w:spacing w:before="40" w:after="40"/>
        <w:ind w:left="283"/>
      </w:pPr>
      <w:r>
        <w:rPr>
          <w:rFonts w:ascii="Calibri" w:hAnsi="Calibri"/>
          <w:b/>
          <w:color w:val="4A6B25"/>
          <w:sz w:val="20"/>
        </w:rPr>
        <w:t xml:space="preserve">2. </w:t>
      </w:r>
      <w:r>
        <w:rPr>
          <w:rFonts w:ascii="Calibri" w:hAnsi="Calibri"/>
          <w:b w:val="0"/>
          <w:color w:val="3A4A28"/>
          <w:sz w:val="20"/>
        </w:rPr>
        <w:t>Oil price appreciation driven by AI data center energy demand and geopolitical supply constraints, which would increase revenue and margins from the Kruh Block producing asset</w:t>
      </w:r>
    </w:p>
    <w:p>
      <w:pPr>
        <w:spacing w:before="40" w:after="40"/>
        <w:ind w:left="283"/>
      </w:pPr>
      <w:r>
        <w:rPr>
          <w:rFonts w:ascii="Calibri" w:hAnsi="Calibri"/>
          <w:b/>
          <w:color w:val="4A6B25"/>
          <w:sz w:val="20"/>
        </w:rPr>
        <w:t xml:space="preserve">3. </w:t>
      </w:r>
      <w:r>
        <w:rPr>
          <w:rFonts w:ascii="Calibri" w:hAnsi="Calibri"/>
          <w:b w:val="0"/>
          <w:color w:val="3A4A28"/>
          <w:sz w:val="20"/>
        </w:rPr>
        <w:t>Strategic partnership or farm-out agreement for Citarum Block development, bringing in capital and technical expertise to advance the exploration program without dilutive equity raises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production decline at Kruh Block without new drilling investment, further eroding the already-tiny $2.3M revenue base toward zero [1]</w:t>
      </w:r>
    </w:p>
    <w:p>
      <w:pPr>
        <w:spacing w:before="40" w:after="40"/>
        <w:ind w:left="283"/>
      </w:pPr>
      <w:r>
        <w:rPr>
          <w:rFonts w:ascii="Calibri" w:hAnsi="Calibri"/>
          <w:b/>
          <w:color w:val="4A6B25"/>
          <w:sz w:val="20"/>
        </w:rPr>
        <w:t xml:space="preserve">2. </w:t>
      </w:r>
      <w:r>
        <w:rPr>
          <w:rFonts w:ascii="Calibri" w:hAnsi="Calibri"/>
          <w:b w:val="0"/>
          <w:color w:val="3A4A28"/>
          <w:sz w:val="20"/>
        </w:rPr>
        <w:t>Cash runway exhaustion within 2 years at current -$4.9M annual burn rate against $8.6M in cash, likely requiring highly dilutive equity raises or convertible debt at unfavorable terms for a $3 stock [3]</w:t>
      </w:r>
    </w:p>
    <w:p>
      <w:pPr>
        <w:spacing w:before="40" w:after="40"/>
        <w:ind w:left="283"/>
      </w:pPr>
      <w:r>
        <w:rPr>
          <w:rFonts w:ascii="Calibri" w:hAnsi="Calibri"/>
          <w:b/>
          <w:color w:val="4A6B25"/>
          <w:sz w:val="20"/>
        </w:rPr>
        <w:t xml:space="preserve">3. </w:t>
      </w:r>
      <w:r>
        <w:rPr>
          <w:rFonts w:ascii="Calibri" w:hAnsi="Calibri"/>
          <w:b w:val="0"/>
          <w:color w:val="3A4A28"/>
          <w:sz w:val="20"/>
        </w:rPr>
        <w:t>Governance concentration risk — CEO Dr. Wirawan Jusuf serves as Chairman, CEO, and controlling shareholder simultaneously, creating potential conflicts of interest and limiting minority shareholder protections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Indonesia Energy operates physical oil and gas wells in South Sumatra — extracting crude oil from underground reservoirs, managing production operations, and navigating Indonesian regulatory requirements are physical-world activities that AI structurally cannot displace [2]. The company's business depends on geological assets, production infrastructure, government concession agreements, and commodity prices — none of which face AI substitution risk. Oil and gas demand may actually increase as AI data centers consume massive amounts of energy globally. However, AI could improve competitor exploration efficiency (seismic interpretation, reservoir modeling), potentially allowing better-resourced competitors to find and develop resources faster than Indonesia Energy's manual approach. AI Opportunity (1/1): While Indonesia Energy itself does not generate AI revenue, the broader thesis that AI data center energy demand supports oil and gas prices represents an indirect tailwind. The company could also deploy AI tools for reservoir optimization and production planning, though its 31-person scale makes this unlikely in the near term.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20</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GHG Emissions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Indonesia Energy Corporation financial data — Revenue decline from $4.1M (2022) to $2.3M trailing, -308% profit margin cited by analysts, 2024-2025</w:t>
      </w:r>
    </w:p>
    <w:p>
      <w:pPr>
        <w:spacing w:before="20" w:after="20"/>
        <w:ind w:left="170"/>
      </w:pPr>
      <w:r>
        <w:rPr>
          <w:rFonts w:ascii="Calibri" w:hAnsi="Calibri"/>
          <w:b/>
          <w:color w:val="4A6B25"/>
          <w:sz w:val="15"/>
        </w:rPr>
        <w:t xml:space="preserve">2. </w:t>
      </w:r>
      <w:r>
        <w:rPr>
          <w:rFonts w:ascii="Calibri" w:hAnsi="Calibri"/>
          <w:b w:val="0"/>
          <w:color w:val="3A4A28"/>
          <w:sz w:val="17"/>
        </w:rPr>
        <w:t>Indonesia Energy Corporation corporate website — Executive team, board of directors, company description, and 'Golden Indonesia 2045' vision,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data for INDO — key statistics and financial metrics,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StocksToTrade / TimothySykes — Indonesia Energy stock analysis, strategic moves, and financial outlook coverage,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