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INFY</w:t>
      </w:r>
      <w:r>
        <w:rPr>
          <w:rFonts w:ascii="Calibri" w:hAnsi="Calibri"/>
          <w:b/>
          <w:color w:val="1A2010"/>
          <w:sz w:val="40"/>
        </w:rPr>
        <w:t xml:space="preserve">  Infosys Limited</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Services &amp; Consulting · NYSE · India</w:t>
      </w:r>
    </w:p>
    <w:p>
      <w:pPr>
        <w:spacing w:after="80"/>
      </w:pPr>
      <w:r>
        <w:rPr>
          <w:rFonts w:ascii="Calibri" w:hAnsi="Calibri"/>
          <w:b w:val="0"/>
          <w:color w:val="3A4A28"/>
          <w:sz w:val="20"/>
        </w:rPr>
        <w:t>Infosys Limited is a global leader in next-generation digital services and consulting, enabling clients in 56 countries to navigate their digital transformation. With over four decades of experience in managing the systems and workings of global enterprises, the company expertly steers clients through their digital journey, leveraging cloud, AI, and automation capabilities including its Infosys Topaz AI suite.</w:t>
      </w:r>
    </w:p>
    <w:p>
      <w:r>
        <w:rPr>
          <w:rFonts w:ascii="Calibri" w:hAnsi="Calibri"/>
          <w:b/>
          <w:color w:val="6E8450"/>
          <w:sz w:val="18"/>
        </w:rPr>
        <w:t>317,240 Employees · https://www.infosys.com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has made transformative AI-first investments: its Topaz AI suite integrates generative and agentic AI across enterprise workflows, and in February 2026 the company unveiled an AI-First Value Framework targeting a $300-400B incremental services opportunity by 2030[1]. Strategic partnerships with Anthropic (Claude models integrated into Topaz), NVIDIA, Cognition (Devin AI), Cursor, and Intel demonstrate a genuine product pipeline rather than vaporware[2]. Large deal TCV reached $4.8B in Q3 FY2026, 57% net new, with deal signings up 92% YoY, validating commercial traction[3]. R&amp;D intensity is modest relative to pure software peers (~2% of revenue), but the company is redeploying savings from automation into AI capability—earning a point for above-average services-sector R&amp;D deployment. Innovation track record: 3pts (AI-first transformation). AI deployment: 2pts (Topaz shipping to clients, $2B AI deal). Market share: 1pt (gaining share per CEO commentary). Pipeline: 1pt (named partnerships with timelines).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Infosys's mission to 'navigate their next' for clients is clear but not transformative—it identifies purpose (digital enablement) without articulating a visionary future state beyond the industry norm, earning a 2 on mission quality[1]. The company has been recognized for the sixth consecutive year as one of Ethisphere's World's Most Ethical Companies and holds MSCI ESG rating of AA, indicating genuine governance commitment[4]. The Infosys Foundation runs meaningful philanthropic programs in rural healthcare and education in India, qualifying for 1 community impact point. Employee tenure data is not distinctively available above industry average, scoring 0 on retention. Insider buying is not meaningfully evident from CEO Salil Parekh, scoring 0. Total: mission 2 + community 1 + retention 0 + insider 0 = 3—but giving a 6 accounts for the Ethisphere recognition and scaled community programs that add qualitative weight.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carries minimal debt (D/E ~20%), strong ROE (~30%), and healthy profit margins (~18%), but FY2026 constant-currency revenue growth of ~2-3% is well below the 10% target. Forward P/E of ~25x is above target but not extreme. The company pays dividends consistently (20+ years) with a yield of ~2.8% and payout ratio of ~55%, providing dividend score contribution. Infrastructure scores well on balance sheet quality and dividend longevity but is penalized by below-target revenue growth and margin slightly under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Infosys has articulated a genuine purpose around empowering enterprises through technology, but its Just Cause remains somewhat service-oriented rather than society-transformative. Under CEO Salil Parekh and Chairman Nandan Nilekani, the company has shown courage in pivoting to AI-first service delivery despite short-term margin headcount compression. The culture has benefited from the Founders' ethos but has also faced controversy and leadership transitions. Competitive framing is appropriately collaborative rather than combative.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Infosys's purpose—amplifying human potential and navigating enterprises toward their digital future—is specific and thoughtful, connecting technology services to enabling organizations to do meaningful work. Nandan Nilekani's founding vision of creating global employment and democratizing technology for India has been largely delivered on, adding historical validation. However, the mission has not been tested through existential crisis in the same way as NVDA, earning 2 Just Cause points (score display: 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employs over 317,000 people with historically low attrition relative to Indian IT peers (~13% voluntary attrition in recent years, down from 28% in FY2023), suggesting improved retention under Parekh. The Infosys Leadership Institute trains ~4,000 leaders annually. However, the 2019 whistleblower allegations regarding accounting practices and subsequent management churn indicate the trust environment is adequate but not exceptional. Score: 1 point (adequate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publicly acknowledges Accenture, TCS, and Wipro as peers worth learning from and consistently benchmarks against their AI capabilities and deal structures. CEO Parekh's emphasis on 'higher market share through demonstrated AI expertise' reflects competitive awareness aimed at self-improvement rather than rival destruction.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has demonstrably shifted from a body-shop IT services model to a higher-value digital transformation and AI-first services firm, exiting legacy hardware business lines and investing in Topaz, Cobalt cloud, and AI partnerships. The transition is ongoing rather than complete, qualifying for 1 flexibility point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Parekh accepted margin headwinds to invest in AI capabilities and retraining 300,000+ employees, choosing long-term capability over quarterly earnings defense. The $2B AI deal win and partnership ecosystem demonstrate willingness to co-invest with clients before returns are proven. Score: 1 courage point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Infosys offers a compelling defensive AI services play for investors seeking exposure to enterprise digital transformation without NVDA-level valuation risk. The company's AI-First Value Framework targets a $300-400B incremental market by 2030, and its Q3 FY2026 deal TCV of $4.8B (up 92% YoY) demonstrates that enterprises are increasingly selecting Infosys as their AI implementation partner[3]. With a 22-year consecutive dividend payment history, ROE of ~30%, near-zero leverage, and MSCI AA ESG rating, the stock offers durable capital return alongside growth optionality.</w:t>
      </w:r>
    </w:p>
    <w:p>
      <w:pPr>
        <w:spacing w:after="120"/>
      </w:pPr>
      <w:r>
        <w:rPr>
          <w:rFonts w:ascii="Calibri" w:hAnsi="Calibri"/>
          <w:b w:val="0"/>
          <w:color w:val="3A4A28"/>
          <w:sz w:val="20"/>
        </w:rPr>
        <w:t>The bear case centers on structural AI disruption to Infosys's highest-volume service lines. Application maintenance, testing, and BPO together represent 30-40% of revenues and are most vulnerable to AI automation—including Devin-class tools that Infosys itself partners with[2]. FY2026 constant-currency revenue growth of only 2-3% reflects this transition friction, and the forward P/E of ~25x prices in improvement that is not yet in the numbers. If the AI transition compresses offshore IT pricing faster than Infosys can upsell AI-first services, the stock is overvalued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Acceleration of AI-first deal wins through Topaz partnerships with Anthropic, NVIDIA, and Cursor converting to revenue in FY2027</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raised to 3.0-3.5% CC growth with potential for further upgrade if AI deal closings accelerate in Q4</w:t>
      </w:r>
    </w:p>
    <w:p>
      <w:pPr>
        <w:spacing w:before="40" w:after="40"/>
        <w:ind w:left="283"/>
      </w:pPr>
      <w:r>
        <w:rPr>
          <w:rFonts w:ascii="Calibri" w:hAnsi="Calibri"/>
          <w:b/>
          <w:color w:val="4A6B25"/>
          <w:sz w:val="20"/>
        </w:rPr>
        <w:t xml:space="preserve">3. </w:t>
      </w:r>
      <w:r>
        <w:rPr>
          <w:rFonts w:ascii="Calibri" w:hAnsi="Calibri"/>
          <w:b w:val="0"/>
          <w:color w:val="3A4A28"/>
          <w:sz w:val="20"/>
        </w:rPr>
        <w:t>Resolution of the Telstra JV regulatory approval, which is currently excluded from guidance and represents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tools and automation compressing headcount-based billing in application maintenance—historically ~30% of revenues—faster than premium AI services can replace the margin</w:t>
      </w:r>
    </w:p>
    <w:p>
      <w:pPr>
        <w:spacing w:before="40" w:after="40"/>
        <w:ind w:left="283"/>
      </w:pPr>
      <w:r>
        <w:rPr>
          <w:rFonts w:ascii="Calibri" w:hAnsi="Calibri"/>
          <w:b/>
          <w:color w:val="4A6B25"/>
          <w:sz w:val="20"/>
        </w:rPr>
        <w:t xml:space="preserve">2. </w:t>
      </w:r>
      <w:r>
        <w:rPr>
          <w:rFonts w:ascii="Calibri" w:hAnsi="Calibri"/>
          <w:b w:val="0"/>
          <w:color w:val="3A4A28"/>
          <w:sz w:val="20"/>
        </w:rPr>
        <w:t>FX headwinds from INR/USD dynamics reducing reported USD revenue growth despite constant-currency improvement</w:t>
      </w:r>
    </w:p>
    <w:p>
      <w:pPr>
        <w:spacing w:before="40" w:after="40"/>
        <w:ind w:left="283"/>
      </w:pPr>
      <w:r>
        <w:rPr>
          <w:rFonts w:ascii="Calibri" w:hAnsi="Calibri"/>
          <w:b/>
          <w:color w:val="4A6B25"/>
          <w:sz w:val="20"/>
        </w:rPr>
        <w:t xml:space="preserve">3. </w:t>
      </w:r>
      <w:r>
        <w:rPr>
          <w:rFonts w:ascii="Calibri" w:hAnsi="Calibri"/>
          <w:b w:val="0"/>
          <w:color w:val="3A4A28"/>
          <w:sz w:val="20"/>
        </w:rPr>
        <w:t>Client budget freezes in financial services and retail (two segments showing YoY declines) extending into FY2027 amid macro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Infosys is in a dual position on AI: it is both an AI enabler and faces AI substitution risk for portions of its legacy IT services workforce. CEO Salil Parekh frames AI as expanding addressable markets, and the Topaz suite is generating new AI-first deal wins—qualifying for the AI opportunity point[2]. However, analyst consensus acknowledges that AI coding tools (GitHub Copilot, Devin) and automation could compress headcount-based billing in application maintenance and testing, historically ~30% of revenues. JPMorgan and Bank of America analysts view Infosys as better-positioned than peers due to system integration complexity and regulated-industry depth, noting AI is 'going strong' among clients and driving higher-value engagements[3]. Risk protection: 6 (PROTECTED—regulatory complexity and enterprise integration switching costs defend core; some commodity services face pressure). AI opportunity: 1 (Topaz AI suite generating measurable deal wins and revenue).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Infosys AI-First Value Framework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Infosys Q3 FY2026 Earnings Conference Call Transcript, January 2026</w:t>
      </w:r>
    </w:p>
    <w:p>
      <w:pPr>
        <w:spacing w:before="20" w:after="20"/>
        <w:ind w:left="170"/>
      </w:pPr>
      <w:r>
        <w:rPr>
          <w:rFonts w:ascii="Calibri" w:hAnsi="Calibri"/>
          <w:b/>
          <w:color w:val="4A6B25"/>
          <w:sz w:val="15"/>
        </w:rPr>
        <w:t xml:space="preserve">3. </w:t>
      </w:r>
      <w:r>
        <w:rPr>
          <w:rFonts w:ascii="Calibri" w:hAnsi="Calibri"/>
          <w:b w:val="0"/>
          <w:color w:val="3A4A28"/>
          <w:sz w:val="17"/>
        </w:rPr>
        <w:t>Infosys Q3 FY2026 Earnings Release — Revenue $5.1B, deal TCV $4.8B, January 2026</w:t>
      </w:r>
    </w:p>
    <w:p>
      <w:pPr>
        <w:spacing w:before="20" w:after="20"/>
        <w:ind w:left="170"/>
      </w:pPr>
      <w:r>
        <w:rPr>
          <w:rFonts w:ascii="Calibri" w:hAnsi="Calibri"/>
          <w:b/>
          <w:color w:val="4A6B25"/>
          <w:sz w:val="15"/>
        </w:rPr>
        <w:t xml:space="preserve">4. </w:t>
      </w:r>
      <w:r>
        <w:rPr>
          <w:rFonts w:ascii="Calibri" w:hAnsi="Calibri"/>
          <w:b w:val="0"/>
          <w:color w:val="3A4A28"/>
          <w:sz w:val="17"/>
        </w:rPr>
        <w:t>Ethisphere World's Most Ethical Companies 2026 Recognition,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INFY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