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ING</w:t>
      </w:r>
      <w:r>
        <w:rPr>
          <w:rFonts w:ascii="Calibri" w:hAnsi="Calibri"/>
          <w:b/>
          <w:color w:val="1A2010"/>
          <w:sz w:val="40"/>
        </w:rPr>
        <w:t xml:space="preserve">  ING Groep N.V.</w:t>
      </w:r>
    </w:p>
    <w:p>
      <w:pPr>
        <w:spacing w:after="120"/>
      </w:pPr>
      <w:r>
        <w:rPr>
          <w:rFonts w:ascii="Calibri" w:hAnsi="Calibri"/>
          <w:b/>
          <w:color w:val="6E8450"/>
          <w:sz w:val="18"/>
        </w:rPr>
        <w:t>DIVIDEND SLEEVE · 2026-04-11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Netherlands</w:t>
      </w:r>
    </w:p>
    <w:p>
      <w:pPr>
        <w:spacing w:after="80"/>
      </w:pPr>
      <w:r>
        <w:rPr>
          <w:rFonts w:ascii="Calibri" w:hAnsi="Calibri"/>
          <w:b w:val="0"/>
          <w:color w:val="3A4A28"/>
          <w:sz w:val="20"/>
        </w:rPr>
        <w:t>ING Groep N.V. is a global financial institution headquartered in Amsterdam, operating retail and wholesale banking across the Netherlands, Belgium, Germany, and over 40 countries. Founded in 1762, ING serves approximately 39 million customers through its digital-first banking platform. The company pioneered agile organizational structure in banking and targets 14% ROE, EUR 5B in fee income, and EUR 150B in sustainable finance by 2027.</w:t>
      </w:r>
    </w:p>
    <w:p>
      <w:r>
        <w:rPr>
          <w:rFonts w:ascii="Calibri" w:hAnsi="Calibri"/>
          <w:b/>
          <w:color w:val="6E8450"/>
          <w:sz w:val="18"/>
        </w:rPr>
        <w:t>60,000 Employees · https://www.ing.com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ING executed a pioneering agile transformation in 2015, restructuring its entire organization into 350 nine-person squads across 13 tribes — modeled after Spotify — reducing software release cycles from biannual to biweekly and becoming a Harvard Business School case study in organizational innovation [1][2]. AI Deployment (1/2): ING is deploying agentic AI for mortgage processing (launching 2026) and has multiple AI-driven compliance projects already in early production, transforming people-heavy regulatory work [3]. Market Share Leadership (1/2): Strong digital banking position in Europe with growing mobile customer base, but does not define or dominate a specific banking category. Pipeline (1/2): Clear strategic targets for 2027 including EUR 5B fee income, EUR 150B sustainable finance, and 14% ROE, supported by AI-driven operational improvements [4]. R&amp;D Intensity (0/1): Technology investment is substantial for a bank but not quantified as a percentage of revenue or benchmarked against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ING's purpose — 'Empowering people to stay a step ahead in life and in business' — is specific, distinctive, and clearly connected to a broader social purpose of financial empowerment beyond mere banking services [5]. The purpose has tangibly shaped strategic decisions including the digital-first model and sustainable finance commitments. However, it hasn't been validated through the kind of multi-decade existential test that earns a 4. Community &amp; Charitable Impact (1/2): ING's EUR 150B sustainable finance target and status as the first global bank with SBTi-validated net-zero targets represent meaningful community investment, though these are business-integrated rather than purely philanthropic initiatives [6]. Employee Retention (0/2): No specific retention or tenure data available. Insider Buying (0/2): No evidence of meaningful net insider buying by CEO Steven van Rijswijk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mechanically calculated from financial metrics. Key strengths include a deeply discounted forward P/E of 9.2x (well below the 20x target), strong 34% profit margin reflecting efficient cost management, healthy dividend growth CAGR of 16.1% over four years, and moderate payout ratio of 49.6% [7][8]. The principal weakness is the D/E ratio of 361%, which exceeds the 300% floor and scores zero — though this is structural for banks with large balance-sheet lending operations. ROE of 12.7% approaches but falls short of the 15% target. Revenue growth is modest at 1.5% YoY on an annual basis, though quarterly revenueGrowth shows stronger momentum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ING demonstrates one of the strongest infinite game profiles among global banks. The pioneering agile transformation in 2015, 264-year institutional history, commitment to exiting fossil fuel financing despite near-term revenue costs, and a purpose statement that genuinely shapes strategic decisions all point to a company built to endure across generations rather than optimize for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ING's purpose — 'Empowering people to stay a step ahead in life and in business' — has been consistently applied across strategic decisions for over a decade, from the digital-first transformation that made banking more accessible to the EUR 150B sustainable finance commitment [5][6]. The 264-year history (founded 1762) demonstrates institutional endurance across centuries of disruption. The cause falls short of transformative because it hasn't yet been tested by the kind of existential crisis that fully validates a Just Cause — though the COVID dividend suspension and recovery demonstrated some resilience.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ING's agile transformation is the gold standard for organizational trust in banking. The 2015 restructuring into 350 self-organizing squads across 13 tribes was explicitly designed around employee empowerment and psychological safety, inspired by Google and Spotify's models [1][2]. The transformation reduced hierarchy, pushed decision-making to the squad level, and measurably improved employee engagement. With 82% of employees recommending ING as a workplace and 4.1/5 culture ratings, the organizational model translates into genuine trust [7].</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ING's agile transformation was explicitly inspired by non-banking rivals — Google, Netflix, and Spotify — whose organizational strengths ING acknowledged and adapted rather than dismissing as irrelevant to banking [1][2]. This is a textbook example of the infinite competitive mindset: recognizing that worthy rivals exist outside your industry and using their strengths to reveal your own weaknesses and drive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ING demonstrated meaningful flexibility by spinning off its insurance arm (NN Group) in 2013-2016 to focus purely on banking, and subsequently restructuring from a traditional hierarchical bank into an agile digital-first organization [1]. The decision to commit to exiting fossil fuel financing — walking away from profitable lending relationships — shows willingness to sacrifice revenue for long-term positioning [6]. These pivots were significant but incremental within the banking domain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ING's leadership demonstrated exceptional courage in multiple instances: the 2015 agile transformation was a bet-the-organization decision that no major bank had attempted, requiring restructuring thousands of roles and fundamentally changing how work was done [1][2]. The commitment to becoming the first global bank with SBTi-validated net-zero targets, including stopping new financing for upstream oil and gas companies expanding fossil fuel activities, required walking away from profitable relationships [6]. CEO Steven van Rijswijk has maintained these commitments even as anti-ESG sentiment has emerged as a business risk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ING offers an attractive combination of deep value (9.2x forward P/E), generous income (4.48% yield with 16% 5-year dividend CAGR), and a genuinely differentiated organizational model. The agile transformation has created a structural cost advantage that enables ING to target 14% ROE by 2027, and the EUR 150B sustainable finance commitment positions the bank at the forefront of transition lending in Europe [4][6]. FY2025 net income of EUR 6.3B and strong fee income growth support continued dividend increases.</w:t>
      </w:r>
    </w:p>
    <w:p>
      <w:pPr>
        <w:spacing w:after="120"/>
      </w:pPr>
      <w:r>
        <w:rPr>
          <w:rFonts w:ascii="Calibri" w:hAnsi="Calibri"/>
          <w:b w:val="0"/>
          <w:color w:val="3A4A28"/>
          <w:sz w:val="20"/>
        </w:rPr>
        <w:t>The bear case centers on European banking's structural headwinds: the D/E ratio of 361% exposes ING to credit cycle risk, and a European recession could spike loan losses from the EUR 179B debt portfolio. Revenue growth is anemic at 1.5% annually, suggesting limited organic growth potential in a mature market [7][8]. The climate lawsuit from Friends of the Earth Netherlands could force accelerated fossil fuel financing exits with material revenue impact, and the anti-ESG political backlash acknowledged by management adds regulatory uncertainty [9]. ING's dependence on net interest income makes it vulnerable to rate cuts by the ECB, which could compress margins in 2026-2027.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2027 strategic targets of 14% ROE, EUR 5B fee income, and EUR 150B sustainable finance — achievement would drive re-rating from current 9.2x forward P/E [4]</w:t>
      </w:r>
    </w:p>
    <w:p>
      <w:pPr>
        <w:spacing w:before="40" w:after="40"/>
        <w:ind w:left="283"/>
      </w:pPr>
      <w:r>
        <w:rPr>
          <w:rFonts w:ascii="Calibri" w:hAnsi="Calibri"/>
          <w:b/>
          <w:color w:val="4A6B25"/>
          <w:sz w:val="20"/>
        </w:rPr>
        <w:t xml:space="preserve">2. </w:t>
      </w:r>
      <w:r>
        <w:rPr>
          <w:rFonts w:ascii="Calibri" w:hAnsi="Calibri"/>
          <w:b w:val="0"/>
          <w:color w:val="3A4A28"/>
          <w:sz w:val="20"/>
        </w:rPr>
        <w:t>Agentic AI deployment in mortgage processing (2026) and compliance operations expected to deliver meaningful cost efficiencies, supporting margin expansion [3]</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 16% 5-year CAGR with 49.6% payout ratio provides significant headroom for further increases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recession driving credit losses across EUR 179B loan portfolio, with D/E of 361% amplifying balance sheet stress during a downturn [7]</w:t>
      </w:r>
    </w:p>
    <w:p>
      <w:pPr>
        <w:spacing w:before="40" w:after="40"/>
        <w:ind w:left="283"/>
      </w:pPr>
      <w:r>
        <w:rPr>
          <w:rFonts w:ascii="Calibri" w:hAnsi="Calibri"/>
          <w:b/>
          <w:color w:val="4A6B25"/>
          <w:sz w:val="20"/>
        </w:rPr>
        <w:t xml:space="preserve">2. </w:t>
      </w:r>
      <w:r>
        <w:rPr>
          <w:rFonts w:ascii="Calibri" w:hAnsi="Calibri"/>
          <w:b w:val="0"/>
          <w:color w:val="3A4A28"/>
          <w:sz w:val="20"/>
        </w:rPr>
        <w:t>ECB rate cuts compressing net interest margins — ING's earnings remain heavily dependent on the interest rate environment in the Eurozone</w:t>
      </w:r>
    </w:p>
    <w:p>
      <w:pPr>
        <w:spacing w:before="40" w:after="40"/>
        <w:ind w:left="283"/>
      </w:pPr>
      <w:r>
        <w:rPr>
          <w:rFonts w:ascii="Calibri" w:hAnsi="Calibri"/>
          <w:b/>
          <w:color w:val="4A6B25"/>
          <w:sz w:val="20"/>
        </w:rPr>
        <w:t xml:space="preserve">3. </w:t>
      </w:r>
      <w:r>
        <w:rPr>
          <w:rFonts w:ascii="Calibri" w:hAnsi="Calibri"/>
          <w:b w:val="0"/>
          <w:color w:val="3A4A28"/>
          <w:sz w:val="20"/>
        </w:rPr>
        <w:t>Climate lawsuit from Friends of the Earth Netherlands could force accelerated fossil fuel financing exits, creating near-term revenue headwinds and setting legal precedent for activist litigation against banks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structurally protected by heavy regulation (Basel III/IV, PSD2, GDPR), customer switching costs, and the complexity of financial intermediation that AI cannot fully replicate [5]. However, significant portions of ING's operations — compliance, mortgage processing, customer service, and back-office functions — face meaningful automation pressure, and ING itself is actively deploying AI to replace these roles [3]. The core lending and advisory relationships remain defensible, but the efficiency gains from AI accrue primarily to early adopters while creating displacement risk for laggards. AI Opportunity (1/1): ING is generating tangible value from AI deployment, with agentic AI mortgage processing launching in 2026 and multiple compliance AI projects already in early production, directly contributing to the bank's cost-efficiency targets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McKinsey — 'ING's Agile Transformation,' Financial Services Insights</w:t>
      </w:r>
    </w:p>
    <w:p>
      <w:pPr>
        <w:spacing w:before="20" w:after="20"/>
        <w:ind w:left="170"/>
      </w:pPr>
      <w:r>
        <w:rPr>
          <w:rFonts w:ascii="Calibri" w:hAnsi="Calibri"/>
          <w:b/>
          <w:color w:val="4A6B25"/>
          <w:sz w:val="15"/>
        </w:rPr>
        <w:t xml:space="preserve">2. </w:t>
      </w:r>
      <w:r>
        <w:rPr>
          <w:rFonts w:ascii="Calibri" w:hAnsi="Calibri"/>
          <w:b w:val="0"/>
          <w:color w:val="3A4A28"/>
          <w:sz w:val="17"/>
        </w:rPr>
        <w:t>Harvard Business School — 'Transformation at ING (A): Agile,' Case Study</w:t>
      </w:r>
    </w:p>
    <w:p>
      <w:pPr>
        <w:spacing w:before="20" w:after="20"/>
        <w:ind w:left="170"/>
      </w:pPr>
      <w:r>
        <w:rPr>
          <w:rFonts w:ascii="Calibri" w:hAnsi="Calibri"/>
          <w:b/>
          <w:color w:val="4A6B25"/>
          <w:sz w:val="15"/>
        </w:rPr>
        <w:t xml:space="preserve">3. </w:t>
      </w:r>
      <w:r>
        <w:rPr>
          <w:rFonts w:ascii="Calibri" w:hAnsi="Calibri"/>
          <w:b w:val="0"/>
          <w:color w:val="3A4A28"/>
          <w:sz w:val="17"/>
        </w:rPr>
        <w:t>Computer Weekly — 'ING Bank Transforming Operations Through Agentic AI,' 2026</w:t>
      </w:r>
    </w:p>
    <w:p>
      <w:pPr>
        <w:spacing w:before="20" w:after="20"/>
        <w:ind w:left="170"/>
      </w:pPr>
      <w:r>
        <w:rPr>
          <w:rFonts w:ascii="Calibri" w:hAnsi="Calibri"/>
          <w:b/>
          <w:color w:val="4A6B25"/>
          <w:sz w:val="15"/>
        </w:rPr>
        <w:t xml:space="preserve">4. </w:t>
      </w:r>
      <w:r>
        <w:rPr>
          <w:rFonts w:ascii="Calibri" w:hAnsi="Calibri"/>
          <w:b w:val="0"/>
          <w:color w:val="3A4A28"/>
          <w:sz w:val="17"/>
        </w:rPr>
        <w:t>ING Groep Q4 FY2025 Press Release — Revenue Guidance and 2027 Strategic Targets</w:t>
      </w:r>
    </w:p>
    <w:p>
      <w:pPr>
        <w:spacing w:before="20" w:after="20"/>
        <w:ind w:left="170"/>
      </w:pPr>
      <w:r>
        <w:rPr>
          <w:rFonts w:ascii="Calibri" w:hAnsi="Calibri"/>
          <w:b/>
          <w:color w:val="4A6B25"/>
          <w:sz w:val="15"/>
        </w:rPr>
        <w:t xml:space="preserve">5. </w:t>
      </w:r>
      <w:r>
        <w:rPr>
          <w:rFonts w:ascii="Calibri" w:hAnsi="Calibri"/>
          <w:b w:val="0"/>
          <w:color w:val="3A4A28"/>
          <w:sz w:val="17"/>
        </w:rPr>
        <w:t>ING Corporate Website — Purpose, Strategy, and Executive Board</w:t>
      </w:r>
    </w:p>
    <w:p>
      <w:pPr>
        <w:spacing w:before="20" w:after="20"/>
        <w:ind w:left="170"/>
      </w:pPr>
      <w:r>
        <w:rPr>
          <w:rFonts w:ascii="Calibri" w:hAnsi="Calibri"/>
          <w:b/>
          <w:color w:val="4A6B25"/>
          <w:sz w:val="15"/>
        </w:rPr>
        <w:t xml:space="preserve">6. </w:t>
      </w:r>
      <w:r>
        <w:rPr>
          <w:rFonts w:ascii="Calibri" w:hAnsi="Calibri"/>
          <w:b w:val="0"/>
          <w:color w:val="3A4A28"/>
          <w:sz w:val="17"/>
        </w:rPr>
        <w:t>ESG Today — 'ING Becomes First Global Bank with SBTi-Validated Targets,' 2024</w:t>
      </w:r>
    </w:p>
    <w:p>
      <w:pPr>
        <w:spacing w:before="20" w:after="20"/>
        <w:ind w:left="170"/>
      </w:pPr>
      <w:r>
        <w:rPr>
          <w:rFonts w:ascii="Calibri" w:hAnsi="Calibri"/>
          <w:b/>
          <w:color w:val="4A6B25"/>
          <w:sz w:val="15"/>
        </w:rPr>
        <w:t xml:space="preserve">7. </w:t>
      </w:r>
      <w:r>
        <w:rPr>
          <w:rFonts w:ascii="Calibri" w:hAnsi="Calibri"/>
          <w:b w:val="0"/>
          <w:color w:val="3A4A28"/>
          <w:sz w:val="17"/>
        </w:rPr>
        <w:t>Glassdoor — ING Reviews (3,789 reviews, 4.1/5 rating)</w:t>
      </w:r>
    </w:p>
    <w:p>
      <w:pPr>
        <w:spacing w:before="20" w:after="20"/>
        <w:ind w:left="170"/>
      </w:pPr>
      <w:r>
        <w:rPr>
          <w:rFonts w:ascii="Calibri" w:hAnsi="Calibri"/>
          <w:b/>
          <w:color w:val="4A6B25"/>
          <w:sz w:val="15"/>
        </w:rPr>
        <w:t xml:space="preserve">8. </w:t>
      </w:r>
      <w:r>
        <w:rPr>
          <w:rFonts w:ascii="Calibri" w:hAnsi="Calibri"/>
          <w:b w:val="0"/>
          <w:color w:val="3A4A28"/>
          <w:sz w:val="17"/>
        </w:rPr>
        <w:t>Yahoo Finance — ING Key Statistics and Dividend History, accessed April 2026</w:t>
      </w:r>
    </w:p>
    <w:p>
      <w:pPr>
        <w:spacing w:before="20" w:after="20"/>
        <w:ind w:left="170"/>
      </w:pPr>
      <w:r>
        <w:rPr>
          <w:rFonts w:ascii="Calibri" w:hAnsi="Calibri"/>
          <w:b/>
          <w:color w:val="4A6B25"/>
          <w:sz w:val="15"/>
        </w:rPr>
        <w:t xml:space="preserve">9. </w:t>
      </w:r>
      <w:r>
        <w:rPr>
          <w:rFonts w:ascii="Calibri" w:hAnsi="Calibri"/>
          <w:b w:val="0"/>
          <w:color w:val="3A4A28"/>
          <w:sz w:val="17"/>
        </w:rPr>
        <w:t>Bloomberg — 'ING Says Anti-ESG Sentiment Has Emerged as Business Risk,' March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