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INLF</w:t>
      </w:r>
      <w:r>
        <w:rPr>
          <w:rFonts w:ascii="Calibri" w:hAnsi="Calibri"/>
          <w:b/>
          <w:color w:val="1A2010"/>
          <w:sz w:val="40"/>
        </w:rPr>
        <w:t xml:space="preserve">  INLIF Limited</w:t>
      </w:r>
    </w:p>
    <w:p>
      <w:pPr>
        <w:spacing w:after="120"/>
      </w:pPr>
      <w:r>
        <w:rPr>
          <w:rFonts w:ascii="Calibri" w:hAnsi="Calibri"/>
          <w:b/>
          <w:color w:val="6E8450"/>
          <w:sz w:val="18"/>
        </w:rPr>
        <w:t>GROWTH SLEEVE · 2026-04-15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China</w:t>
      </w:r>
    </w:p>
    <w:p>
      <w:pPr>
        <w:spacing w:after="80"/>
      </w:pPr>
      <w:r>
        <w:rPr>
          <w:rFonts w:ascii="Calibri" w:hAnsi="Calibri"/>
          <w:b w:val="0"/>
          <w:color w:val="3A4A28"/>
          <w:sz w:val="20"/>
        </w:rPr>
        <w:t>INLIF Limited, through its China operating entity Ewatt Robot Equipment Co., designs and manufactures injection molding machine-dedicated manipulator arms. The company is pivoting into new energy automation components serving EV, home appliance, and packaging customers, and is navigating Nasdaq minimum bid price compliance via a 1-for-16 share consolidation.</w:t>
      </w:r>
    </w:p>
    <w:p>
      <w:r>
        <w:rPr>
          <w:rFonts w:ascii="Calibri" w:hAnsi="Calibri"/>
          <w:b/>
          <w:color w:val="6E8450"/>
          <w:sz w:val="18"/>
        </w:rPr>
        <w:t>https://www.inlif.com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in FY2025 rose 16.5% to $18.41M but the company swung to a $5.45M net loss from $1.61M net income a year prior, and trailing growth of -10.2% per yfinance shows the rebound is uneven [1][5]. AI Deployment (0/2): No evidence of AI being deployed in products or operations beyond generic references to 'intelligentization of the manipulator arm industry' [2]. Market Share (1/2): INLIF is a small niche player in injection molding manipulator arms with no disclosed market share leadership; its $55M market cap reflects its micro-cap status [5]. Pipeline (1/2): The newly launched new energy automation line reached 12.98% of revenue in its first year, showing product-pipeline traction but unproven scale [1]. R&amp;D Intensity (0/1): R&amp;D spending rose 32% but absolute spend remains tiny on an $18M revenue base, insufficient to build a durable innovation moat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Rongjun Xu describes FY2025 as 'transformative' and frames strategic actions as foundation-building, but there is no articulated mission beyond commercial growth and no differentiated purpose [2]. Community Impact (0/2): No disclosed community or sustainability programs, and the China operating structure via a VIE-like entity limits transparency [3]. Employee Retention (1/2): Two share-based compensation plans were enacted in FY2025 to retain 'top talent,' a positive signal but one that also caused material non-recurring expense and partly drove the swing to a loss [1]. Insider Buying (0/2): No disclosed insider buying; instead the company approved a major capital increase and share consolidation flexibility, suggesting dilution risk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142,295 shares times stock price of $3.97 equals approximately $565K daily turnover, well below the $1M minimum for an investable position, forcing Infrastructure to 0 regardless of other metrics [5]. Financials would fail independently anyway: profit margin of -29.6%, ROE of -41.3%, revenue growth trailing at -10.2% per yfinance TTM, and debt-to-equity of 30.8 (as a ratio, not percent) reflect deep unprofitability and leverage [5]. The company received a Nasdaq minimum bid price deficiency notification in October 2025 and executed a 1-for-16 reverse split in March 2026 to maintain listing, a red flag for financial distress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INLIF's behavior — a reverse split to avoid Nasdaq delisting, a capital increase approval, swing to a net loss while issuing equity compensation, and an opportunistic pivot to new energy automation without a disclosed Just Cause — reads as near-term survival rather than long-term mission. The company is playing to stay listed this quarter, not to build a durable institution.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stated purpose centers on commercial growth and responding to industry trends rather than any idealistic cause [2]. There is no articulated vision of what INLIF is trying to build for customers or society beyond selling manipulator arms and new energy components.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enactment of two share-based compensation plans to retain 'top talent' indicates management recognizes the need for team alignment, but the cost hit to profitability and the absence of public culture data (no Glassdoor presence found) make trust hard to verify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INLIF does not publicly discuss rivals; the competitive landscape of Chinese and global industrial robotics is dominated by far larger players (Inovance, Estun, FANUC, ABB) and INLIF appears to be a price-competitive small supplier rather than a rival-recognizing strategist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launch of the new energy automation line (12.98% of FY2025 revenue in year one) and the deliberate reallocation of manipulator arm capacity show willingness to pivot, which is the one relative bright spot [1]. Execution remains early and loss-making.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Executing a 1-for-16 reverse split to maintain Nasdaq listing and approving a capital increase under compliance pressure is defensive, not courageous leadership [3][4]. The company has not taken public stands or accepted near-term pain for a long-term principle beyond the pivot.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INLIF Limited is a micro-cap Chinese industrial machinery company ($55M market cap) making injection molding manipulator arms, pivoting into new energy automation to offset core weakness [1][5]. FY2025 revenue grew 16.5% to $18.41M, and the nascent new energy line reached 12.98% of revenue in its first year, evidence the pivot has early traction [1]. However, the company swung from $1.61M net income in FY2024 to a $5.45M net loss in FY2025 on elevated R&amp;D spend and share-based compensation, and trailing revenue growth per yfinance is -10.2%, contradicting the headline narrative [1][5]. The hard blocker is the Liquidity Floor: daily dollar volume of ~$565K is below the $1M threshold, making Infrastructure mechanically 0 and the position uninvestable for any fund of meaningful size [5].</w:t>
      </w:r>
    </w:p>
    <w:p>
      <w:pPr>
        <w:spacing w:after="120"/>
      </w:pPr>
      <w:r>
        <w:rPr>
          <w:rFonts w:ascii="Calibri" w:hAnsi="Calibri"/>
          <w:b w:val="0"/>
          <w:color w:val="3A4A28"/>
          <w:sz w:val="20"/>
        </w:rPr>
        <w:t>The bear case is reinforced by governance and listing-compliance stress signals. INLIF received a Nasdaq minimum bid price deficiency notification in October 2025 and executed a 1-for-16 reverse split in March 2026, while shareholders also approved a major capital increase, pointing to dilution risk to fund continued losses [3][4]. The VIE-like China operating structure through Ewatt Robot Equipment Co. adds the standard China-listed-in-US legal and accounting risk overlay. With profit margin of -29.6%, ROE of -41.3%, D/E at 30.8x, and a tiny R&amp;D budget that cannot compete with Chinese robotics leaders like Inovance and Estun or global primes like FANUC and ABB, INLIF is structurally disadvantaged [5]. Faith alignment is neutral (no Inspire score available) but does not rescue the investment case.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energy automation line scaling beyond 12.98% of revenue could rebuild top-line growth if EV and home appliance automation demand strengthens [1]</w:t>
      </w:r>
    </w:p>
    <w:p>
      <w:pPr>
        <w:spacing w:before="40" w:after="40"/>
        <w:ind w:left="283"/>
      </w:pPr>
      <w:r>
        <w:rPr>
          <w:rFonts w:ascii="Calibri" w:hAnsi="Calibri"/>
          <w:b/>
          <w:color w:val="4A6B25"/>
          <w:sz w:val="20"/>
        </w:rPr>
        <w:t xml:space="preserve">2. </w:t>
      </w:r>
      <w:r>
        <w:rPr>
          <w:rFonts w:ascii="Calibri" w:hAnsi="Calibri"/>
          <w:b w:val="0"/>
          <w:color w:val="3A4A28"/>
          <w:sz w:val="20"/>
        </w:rPr>
        <w:t>Post-reverse-split Nasdaq compliance restoration removes the immediate delisting overhang and could allow institutional re-engagement if fundamentals follow [4]</w:t>
      </w:r>
    </w:p>
    <w:p>
      <w:pPr>
        <w:spacing w:before="40" w:after="40"/>
        <w:ind w:left="283"/>
      </w:pPr>
      <w:r>
        <w:rPr>
          <w:rFonts w:ascii="Calibri" w:hAnsi="Calibri"/>
          <w:b/>
          <w:color w:val="4A6B25"/>
          <w:sz w:val="20"/>
        </w:rPr>
        <w:t xml:space="preserve">3. </w:t>
      </w:r>
      <w:r>
        <w:rPr>
          <w:rFonts w:ascii="Calibri" w:hAnsi="Calibri"/>
          <w:b w:val="0"/>
          <w:color w:val="3A4A28"/>
          <w:sz w:val="20"/>
        </w:rPr>
        <w:t>R&amp;D investment (up 32% YoY) could deliver differentiated products if the company converts spend into proprietary technology rather than incremental upgrades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violation — daily dollar volume of ~$565K makes the stock uninvestable for any position size that would move the needle and creates exit risk [5]</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resurfacing if the post-consolidation price cannot hold above $1 and if the approved capital increase dilutes shareholders further [3][4]</w:t>
      </w:r>
    </w:p>
    <w:p>
      <w:pPr>
        <w:spacing w:before="40" w:after="40"/>
        <w:ind w:left="283"/>
      </w:pPr>
      <w:r>
        <w:rPr>
          <w:rFonts w:ascii="Calibri" w:hAnsi="Calibri"/>
          <w:b/>
          <w:color w:val="4A6B25"/>
          <w:sz w:val="20"/>
        </w:rPr>
        <w:t xml:space="preserve">3. </w:t>
      </w:r>
      <w:r>
        <w:rPr>
          <w:rFonts w:ascii="Calibri" w:hAnsi="Calibri"/>
          <w:b w:val="0"/>
          <w:color w:val="3A4A28"/>
          <w:sz w:val="20"/>
        </w:rPr>
        <w:t>Profitability collapse — swing from $1.61M net income to $5.45M net loss with profit margin at -29.6% and ROE at -41.3% indicates the cost base is not covered by current revenue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Injection molding manipulator arms are a physical-automation product that is relatively shielded from direct generative-AI disruption, but the broader industrial robotics space is being rapidly transformed by AI-driven motion control, vision, and predictive maintenance where INLIF has shown no disclosed capability [2]. The company acknowledges 'accelerating intelligentization' in its industry but lacks the scale and R&amp;D depth to lead the transition, leaving it vulnerable to larger Chinese and global peers (Estun, Inovance, ABB, FANUC) [2]. AI Opportunity (0/1): No specific AI product or platform has been announced; the new energy automation pivot is hardware-centric with no disclosed AI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INLIF Limited FY2025 Financial Results Press Release — revenue $18.41M (+16.5%), $5.45M net loss, PRNewswire/Globe and Mail, March 6, 2026</w:t>
      </w:r>
    </w:p>
    <w:p>
      <w:pPr>
        <w:spacing w:before="20" w:after="20"/>
        <w:ind w:left="170"/>
      </w:pPr>
      <w:r>
        <w:rPr>
          <w:rFonts w:ascii="Calibri" w:hAnsi="Calibri"/>
          <w:b/>
          <w:color w:val="4A6B25"/>
          <w:sz w:val="15"/>
        </w:rPr>
        <w:t xml:space="preserve">2. </w:t>
      </w:r>
      <w:r>
        <w:rPr>
          <w:rFonts w:ascii="Calibri" w:hAnsi="Calibri"/>
          <w:b w:val="0"/>
          <w:color w:val="3A4A28"/>
          <w:sz w:val="17"/>
        </w:rPr>
        <w:t>The AI Journal — INLIF LIMITED Reports Fiscal Year 2025 Financial Results, CEO Rongjun Xu commentary on transformation and talent retention, March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INLIF LIMITED Receives Nasdaq Notification Regarding Minimum Bid Price Deficiency, October 30, 2025</w:t>
      </w:r>
    </w:p>
    <w:p>
      <w:pPr>
        <w:spacing w:before="20" w:after="20"/>
        <w:ind w:left="170"/>
      </w:pPr>
      <w:r>
        <w:rPr>
          <w:rFonts w:ascii="Calibri" w:hAnsi="Calibri"/>
          <w:b/>
          <w:color w:val="4A6B25"/>
          <w:sz w:val="15"/>
        </w:rPr>
        <w:t xml:space="preserve">4. </w:t>
      </w:r>
      <w:r>
        <w:rPr>
          <w:rFonts w:ascii="Calibri" w:hAnsi="Calibri"/>
          <w:b w:val="0"/>
          <w:color w:val="3A4A28"/>
          <w:sz w:val="17"/>
        </w:rPr>
        <w:t>GlobeNewswire / TipRanks — INLIF 1-for-16 Share Combination and Shareholder Approval of Capital Increase, March 31,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INLF (INLIF Limited),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