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INN</w:t>
      </w:r>
      <w:r>
        <w:rPr>
          <w:rFonts w:ascii="Calibri" w:hAnsi="Calibri"/>
          <w:b/>
          <w:color w:val="1A2010"/>
          <w:sz w:val="40"/>
        </w:rPr>
        <w:t xml:space="preserve">  Summit Hotel Properties, Inc.</w:t>
      </w:r>
    </w:p>
    <w:p>
      <w:pPr>
        <w:spacing w:after="120"/>
      </w:pPr>
      <w:r>
        <w:rPr>
          <w:rFonts w:ascii="Calibri" w:hAnsi="Calibri"/>
          <w:b/>
          <w:color w:val="6E8450"/>
          <w:sz w:val="18"/>
        </w:rPr>
        <w:t>GROWTH SLEEVE · 2026-04-25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Summit Hotel Properties, Inc. is a publicly traded REIT focused on owning premium-branded select-service and extended-stay lodging properties primarily in the upscale segment. As of November 2025, the portfolio consisted of 95 assets with 14,347 guestrooms across 24 states, operating under brands like Marriott, Hilton, Hyatt, and IHG.</w:t>
      </w:r>
    </w:p>
    <w:p>
      <w:r>
        <w:rPr>
          <w:rFonts w:ascii="Calibri" w:hAnsi="Calibri"/>
          <w:b/>
          <w:color w:val="6E8450"/>
          <w:sz w:val="18"/>
        </w:rPr>
        <w:t>78 Employees · https://www.shpreit.com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Summit has executed a portfolio repositioning strategy over the past 5 years, selling lower-quality assets and reinvesting in premium-branded upscale properties — an incremental portfolio improvement, not a transformative pivot [1]. AI Deployment (0/2): No evidence of AI-powered products or measurable AI-driven cost savings. As a hotel REIT with only 78 corporate employees, the company relies on brand operators (Marriott, Hilton) for technology deployment [2]. Market Share (1/2): Summit is a meaningful player in the select-service hotel REIT space with 95 assets, though it is mid-sized compared to larger hotel REITs like Apple Hospitality or RLJ Lodging [1]. Pipeline (1/2): Management guides to 0-3% RevPAR growth in 2026 with specific demand catalysts including World Cup matches in six of their markets and recovering corporate transient demand [1]. R&amp;D Intensity (0/1): As a REIT, R&amp;D is not applicable — capital is deployed through property acquisitions and renovations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Summit's purpose centers on 'creating value through premium-branded lodging' — clear and functional but not distinctive or inspiring beyond real estate returns [2]. The company articulates a commitment to responsible operations and stakeholder value, which is standard for REITs. Community Impact (1/2): Summit published a 2025 Corporate Responsibility Report detailing commitments to sustainable hotel operations, employee well-being, community engagement, and environmental stewardship including an Energy Management Program across the portfolio [3]. Employee Retention (1/2): The company operates with a lean 78-person corporate team, and CEO Jonathan Stanner has led since 2019 after joining in 2017, demonstrating leadership stability. CFO Trey Conkling joined in 2021 and has stayed, suggesting adequate retention at the executive level [2]. Insider Buying (0/2): Insider transactions show net selling — Director Mehulkumar Patel sold 35,000 shares totaling $172,200 in late 2025/early 2026. Director Thomas Storey made a $110,913 purchase in May 2025, but the selling outweighed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Summit's financial profile reflects the challenges facing hotel REITs in a slow-growth environment. D/E of 111.4% is elevated but manageable for a REIT with $1.42B in total debt against $39M cash [4]. ROE is negative at -0.88%, reflecting the $23.6M net loss for full-year 2025 [1]. Revenue of $729.5M was essentially flat at 1.2% YoY growth with a 3-year CAGR of just 2.6% from 2022 [4]. Forward P/E is negative (-9.58) as the company is expected to remain unprofitable on a GAAP basis, though adjusted FFO of $0.85/share provides a better measure of cash generation for a REIT [1]. Profit margin is negative at -0.7%. Dividend yield of 6.68% ($0.32 annually) is attractive but the payout was suspended in 2020 and only resumed in 2022 at a sharply reduced level — annual dividends went from $0.72 pre-COVID to $0.32 currently [4]. Liquidity floor cleared: 1.31M avg volume × $4.79 = $6.3M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Summit Hotel Properties exhibits mixed infinite-game characteristics. The company has a genuine long-term orientation as a REIT focused on owning premium-branded properties for decades, but the execution has been reactive rather than visionary — responding to COVID by cutting dividends, then slowly rebuilding. The recent focus on capital allocation discipline (reducing capex from elevated 2022-2024 levels) and portfolio quality improvement suggests management is thinking about long-term durability.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Summit's cause of 'creating value through premium-branded lodging' is functional but shallow — it describes a real estate strategy, not a vision for a better future [2]. The company exists to generate returns for shareholders through hotel ownership, which is a legitimate business purpose but not a Just Cause that inspires people to sacrifice for its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78-person corporate team is lean and stable. CEO Stanner's tenure since 2019 and CFO Conkling since 2021 provide leadership continuity [2]. The published Corporate Responsibility Report includes employee well-being commitments. However, the company is essentially a holding company — the actual hotel employees work for brand operators, making organizational trust difficult to assess at the property level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Summit acknowledging competitors' strengths or using competitive benchmarking for self-improvement. Management commentary focuses on internal portfolio metrics (RevPAR, EBITDA) and market conditions rather than learning from peers like Apple Hospitality REIT or Pebblebrook Hotel Trust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Summit has shown incremental flexibility by repositioning its portfolio toward premium-branded select-service properties, selling lower-quality assets, and adjusting capital allocation in response to market conditions [1]. The dividend suspension during COVID and subsequent rebuilding demonstrated willingness to prioritize survival over distribution continuity. However, the core business model — owning hotel properties under major brand flags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showed courage by proactively reducing 2026 capex guidance to $55-65M from elevated prior-year levels, signaling capital discipline [1]. The decision to guide 2026 adjusted FFO of $0.73-$0.85/share — acknowledging potential downside — demonstrates transparency over spin. However, the cautious RevPAR guidance of 0-3% reflects a management team managing expectations rather than making bold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Summit Hotel Properties offers a 6.68% dividend yield at a deeply discounted $521M market cap — trading at just 5.6x 2025 adjusted FFO of $0.85/share — for a portfolio of 95 premium-branded hotels in 24 states [1]. The company is structurally immune to AI disruption as a physical real estate owner, and 2026 offers specific demand catalysts: World Cup matches in six Summit markets, recovering corporate transient demand, and easing government travel comparisons [1]. Adjusted EBITDA of $174.8M in 2025 and guided $167-181M for 2026 provides significant cash flow relative to the equity market cap. The portfolio's focus on premium brands (Marriott, Hilton, Hyatt) ensures consistent brand standards and booking channel access.</w:t>
      </w:r>
    </w:p>
    <w:p>
      <w:pPr>
        <w:spacing w:after="120"/>
      </w:pPr>
      <w:r>
        <w:rPr>
          <w:rFonts w:ascii="Calibri" w:hAnsi="Calibri"/>
          <w:b w:val="0"/>
          <w:color w:val="3A4A28"/>
          <w:sz w:val="20"/>
        </w:rPr>
        <w:t>The bear case centers on persistent GAAP losses and an overleveraged balance sheet. Summit posted a $23.6M net loss in 2025 with negative ROE and profit margins, and D/E of 111% with $1.42B in total debt against just $39M cash creates refinancing risk in a higher-rate environment [1][4]. The dividend was suspended during COVID and has been rebuilt to only $0.32/year versus $0.72 pre-pandemic — current shareholders are receiving 56% less income than 2019 levels. RevPAR declined 1.8% in 2025, and 2026 guidance of 0-3% RevPAR growth is tepid [1]. The hotel industry faces structural headwinds from remote work reducing business travel, Airbnb competition in leisure markets, and potential economic slowdown. At $4.79/share, the stock has lost significant value from its pre-pandemic levels, and there is no clear catalyst for meaningful price appreciation beyond yield.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FIFA World Cup 2026 matches in six Summit hotel markets driving transient demand spikes and premium pricing in summer 2026 [1]</w:t>
      </w:r>
    </w:p>
    <w:p>
      <w:pPr>
        <w:spacing w:before="40" w:after="40"/>
        <w:ind w:left="283"/>
      </w:pPr>
      <w:r>
        <w:rPr>
          <w:rFonts w:ascii="Calibri" w:hAnsi="Calibri"/>
          <w:b/>
          <w:color w:val="4A6B25"/>
          <w:sz w:val="20"/>
        </w:rPr>
        <w:t xml:space="preserve">2. </w:t>
      </w:r>
      <w:r>
        <w:rPr>
          <w:rFonts w:ascii="Calibri" w:hAnsi="Calibri"/>
          <w:b w:val="0"/>
          <w:color w:val="3A4A28"/>
          <w:sz w:val="20"/>
        </w:rPr>
        <w:t>Corporate travel recovery and easing government travel comparisons improving RevPAR above the guided 0-3% range [1]</w:t>
      </w:r>
    </w:p>
    <w:p>
      <w:pPr>
        <w:spacing w:before="40" w:after="40"/>
        <w:ind w:left="283"/>
      </w:pPr>
      <w:r>
        <w:rPr>
          <w:rFonts w:ascii="Calibri" w:hAnsi="Calibri"/>
          <w:b/>
          <w:color w:val="4A6B25"/>
          <w:sz w:val="20"/>
        </w:rPr>
        <w:t xml:space="preserve">3. </w:t>
      </w:r>
      <w:r>
        <w:rPr>
          <w:rFonts w:ascii="Calibri" w:hAnsi="Calibri"/>
          <w:b w:val="0"/>
          <w:color w:val="3A4A28"/>
          <w:sz w:val="20"/>
        </w:rPr>
        <w:t>Capital expenditure reduction to $55-65M in 2026 from elevated prior-year levels, improving free cash flow and potentially enabling further dividend increases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Refinancing risk on $1.42B debt with only $39M cash — any credit market disruption or rating downgrade could force dilutive equity raises or asset fire sales [4]</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business travel from remote work permanently reducing weekday hotel demand in Summit's select-service markets [1]</w:t>
      </w:r>
    </w:p>
    <w:p>
      <w:pPr>
        <w:spacing w:before="40" w:after="40"/>
        <w:ind w:left="283"/>
      </w:pPr>
      <w:r>
        <w:rPr>
          <w:rFonts w:ascii="Calibri" w:hAnsi="Calibri"/>
          <w:b/>
          <w:color w:val="4A6B25"/>
          <w:sz w:val="20"/>
        </w:rPr>
        <w:t xml:space="preserve">3. </w:t>
      </w:r>
      <w:r>
        <w:rPr>
          <w:rFonts w:ascii="Calibri" w:hAnsi="Calibri"/>
          <w:b w:val="0"/>
          <w:color w:val="3A4A28"/>
          <w:sz w:val="20"/>
        </w:rPr>
        <w:t>GAAP losses persisting through 2026 with forward P/E negative, creating risk of dividend suspension if adjusted FFO deteriorates below the $0.32/share annual payout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Hotel real estate ownership is structurally immune to AI disruption. Hotels are physical assets requiring in-person occupancy — AI cannot replace a guest room, a bed, or a physical hotel experience [1]. The business involves physical-world operations (property management, maintenance, hospitality services) that AI structurally cannot displace. If anything, AI-driven travel planning and booking optimization could increase hotel demand by making travel more accessible. The company's reliance on premium brand operators (Marriott, Hilton, Hyatt) provides additional insulation as those brands invest in AI for guest experience and revenue management on Summit's behalf [2]. AI Opportunity (0/1): No quantifiable AI revenue. Summit is a real estate owner, not a technology company — it does not sell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Summit Hotel Properties Q4 and Full Year 2025 Earnings Release — $23.6M net loss, adjusted FFO of $0.85/share,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Summit Hotel Properties corporate website — leadership team, company overview, corporate responsibility,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Summit Hotel Properties 2025 Corporate Responsibility Report — environmental stewardship, sustainability programs, November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INN key statistics (D/E, ROE, margins, volume, dividend history),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