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INOD</w:t>
      </w:r>
      <w:r>
        <w:rPr>
          <w:rFonts w:ascii="Calibri" w:hAnsi="Calibri"/>
          <w:b/>
          <w:color w:val="1A2010"/>
          <w:sz w:val="40"/>
        </w:rPr>
        <w:t xml:space="preserve">  Innodata Inc.</w:t>
      </w:r>
    </w:p>
    <w:p>
      <w:pPr>
        <w:spacing w:after="120"/>
      </w:pPr>
      <w:r>
        <w:rPr>
          <w:rFonts w:ascii="Calibri" w:hAnsi="Calibri"/>
          <w:b/>
          <w:color w:val="6E8450"/>
          <w:sz w:val="18"/>
        </w:rPr>
        <w:t>GROWTH SLEEVE · 2026-05-01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Innodata Inc. operates as a data engineering company providing AI training and post-training data, model evaluation, alignment, safety, and AI-enabled platforms. The company serves leading technology companies through its Digital Data Solutions, Synodex (healthcare data), and Agility PR Solutions segments.</w:t>
      </w:r>
    </w:p>
    <w:p>
      <w:r>
        <w:rPr>
          <w:rFonts w:ascii="Calibri" w:hAnsi="Calibri"/>
          <w:b/>
          <w:color w:val="6E8450"/>
          <w:sz w:val="18"/>
        </w:rPr>
        <w:t>10,020 Employees · https://www.innodata.com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Innodata successfully pivoted from a legacy data processing company to a strategic AI data lifecycle partner, growing revenue from $79M in 2022 to $252M in 2025 — a 3-year transformation that redefined the company [1][2]. AI Deployment (2/2): The company's core business IS AI deployment — providing training data, post-training alignment, safety evaluation, and model deployment services to frontier AI companies, generating $252M in AI-related revenue in 2025 [1]. Market Share Leadership (1/2): Innodata is a meaningful player in the AI data services market but not a dominant category leader; it competes with Scale AI and Appen for major contracts [2]. Product Pipeline (1/2): Management has outlined expansion into agentic AI and physical AI workflows with 35%+ revenue growth guidance for 2026, though specific product launch dates are limited [1]. R&amp;D Intensity (1/1): R&amp;D spending is above industry average for IT services given the company's investment in AI-enabled platforms and workflow automation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Innodata's mission to 'help the world's leading technology companies drive Generative AI / AI innovation' is clear and specific to its business but lacks deeper purpose beyond serving clients' AI ambitions — it describes what they do, not a transformative vision of the future [3]. Community Impact (0/2): No evidence of distinctive charitable programs or community investment beyond standard corporate activities. Insider Buying (1/2): Net insider activity is mixed — CEO Jack Abuhoff received stock awards, but COO Ashok Mishra sold $15.5M worth of shares in late 2025 at $60-65/share, and Director Louise Forlenza sold $538K; significant net selling signals monetization rather than conviction [4]. Employee Retention (2/2): CEO Jack Abuhoff's 28-year tenure demonstrates extraordinary leadership continuity; Glassdoor ratings of 3.4/5 for culture are adequate, and the 10,000+ employee base has grown with the company's AI transformation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Innodata's financial profile is exceptional for a growth stock. Near-zero debt (D/E 4.1%) against $82M cash provides a fortress balance sheet [2]. ROE of 37.8% is elite, revenue grew 48% YoY in 2025, and the 3-year revenue CAGR exceeds 47% [1]. Forward PEG of 0.87 indicates the stock is attractively valued relative to growth, while Forward P/E of 24.3 reflects reasonable expectations. The only weakness is profit margin at 12.8%, below the 20% target, as the company invests heavily in scaling AI workforce and infrastructure [1][2]. Liquidity is ample at $44.6M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Innodata demonstrates meaningful infinite game characteristics through CEO Jack Abuhoff's 28-year tenure and successful multi-decade transformation from legacy data processing to AI services. However, the company's purpose is tied to serving AI clients rather than an enduring Just Cause, and its competitive positioning is more about winning contracts than building a lasting vision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Innodata's purpose — enabling AI innovation through data engineering — is genuine but ultimately derivative, defined by its clients' ambitions rather than its own vision of a better future. The company exists to serve tech giants' AI needs, which is a business strategy rather than a Just Cause that invites sacrifice and endures beyond any product cycle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reflect a mixed culture — 59% recommend working at Innodata, with praise for trust and transparency in leadership but criticism of unrealistic KPIs and high-pressure environments. The 28-year CEO tenure and recent promotion of Rahul Singhal to President suggests leadership continuity, but the 10,000-person global workforce includes significant contract labor that may not experience the same cultural benefits [3][4].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Innodata acknowledges competition from Scale AI, Appen, and other data services providers, and management's language focuses on differentiating through quality and innovation rather than defeating competitors. The company's pivot to becoming a 'strategic lifecycle partner' reflects learning from rivals' strengths in specific AI data verticals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Innodata executed one of the most dramatic strategic pivots in small-cap tech — transforming from a legacy document processing and outsourcing company into a frontline AI data engineering partner, growing revenue from $79M to $252M in three years. The company abandoned its legacy identity entirely and rebuilt around AI services, a transformative pivot driven by foresight rather than desperation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Jack Abuhoff made the bold decision to pivot Innodata toward AI data services when the company was sub-$100M in revenue, investing in new capabilities and talent before the payoff was certain. However, the transformation was also partly necessity — the legacy business was declining — making it difficult to distinguish courage from survival instinct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Innodata is a rare small-cap pure play on AI infrastructure demand, having transformed from a $79M legacy data processor in 2022 to a $252M AI data engineering partner in 2025. The company's fortress balance sheet (D/E 4.1%, $82M cash), exceptional growth trajectory (48% YoY revenue growth), and forward PEG of 0.87 make it attractively valued relative to its AI-driven growth profile. Management's 35%+ revenue growth guidance for 2026 is supported by expanding relationships with frontier AI companies and new opportunities in agentic AI and physical AI workflows [1][2].</w:t>
      </w:r>
    </w:p>
    <w:p>
      <w:pPr>
        <w:spacing w:after="120"/>
      </w:pPr>
      <w:r>
        <w:rPr>
          <w:rFonts w:ascii="Calibri" w:hAnsi="Calibri"/>
          <w:b w:val="0"/>
          <w:color w:val="3A4A28"/>
          <w:sz w:val="20"/>
        </w:rPr>
        <w:t>The bear case centers on customer concentration risk — Innodata's revenue is heavily dependent on a small number of large tech companies, and any pullback in AI spending could dramatically impact results. Profit margins at 12.8% remain below peers, reflecting the labor-intensive nature of data annotation work that may face pressure as AI-assisted labeling tools improve. The stock trades at 55% below its 52-week high of $93.85, reflecting market concerns about sustainability of growth rates and potential commoditization of training data services as frontier model architectures evolve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Expansion into agentic AI and physical AI data workflows could open new revenue streams beyond traditional LLM training data, with management guiding 35%+ revenue growth in 2026 [1]</w:t>
      </w:r>
    </w:p>
    <w:p>
      <w:pPr>
        <w:spacing w:before="40" w:after="40"/>
        <w:ind w:left="283"/>
      </w:pPr>
      <w:r>
        <w:rPr>
          <w:rFonts w:ascii="Calibri" w:hAnsi="Calibri"/>
          <w:b/>
          <w:color w:val="4A6B25"/>
          <w:sz w:val="20"/>
        </w:rPr>
        <w:t xml:space="preserve">2. </w:t>
      </w:r>
      <w:r>
        <w:rPr>
          <w:rFonts w:ascii="Calibri" w:hAnsi="Calibri"/>
          <w:b w:val="0"/>
          <w:color w:val="3A4A28"/>
          <w:sz w:val="20"/>
        </w:rPr>
        <w:t>Evolution from data supplier to strategic lifecycle partner deepens switching costs and increases revenue per client as programs scale through deployment and post-training phases [2]</w:t>
      </w:r>
    </w:p>
    <w:p>
      <w:pPr>
        <w:spacing w:before="40" w:after="40"/>
        <w:ind w:left="283"/>
      </w:pPr>
      <w:r>
        <w:rPr>
          <w:rFonts w:ascii="Calibri" w:hAnsi="Calibri"/>
          <w:b/>
          <w:color w:val="4A6B25"/>
          <w:sz w:val="20"/>
        </w:rPr>
        <w:t xml:space="preserve">3. </w:t>
      </w:r>
      <w:r>
        <w:rPr>
          <w:rFonts w:ascii="Calibri" w:hAnsi="Calibri"/>
          <w:b w:val="0"/>
          <w:color w:val="3A4A28"/>
          <w:sz w:val="20"/>
        </w:rPr>
        <w:t>Early 2026 gross margin normalization toward 40%+ as innovation-led workflows scale, potentially driving meaningful operating leverage on the current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customer concentration — a significant portion of revenue likely comes from fewer than five major AI companies, and any single contract loss could materially impact results [2]</w:t>
      </w:r>
    </w:p>
    <w:p>
      <w:pPr>
        <w:spacing w:before="40" w:after="40"/>
        <w:ind w:left="283"/>
      </w:pPr>
      <w:r>
        <w:rPr>
          <w:rFonts w:ascii="Calibri" w:hAnsi="Calibri"/>
          <w:b/>
          <w:color w:val="4A6B25"/>
          <w:sz w:val="20"/>
        </w:rPr>
        <w:t xml:space="preserve">2. </w:t>
      </w:r>
      <w:r>
        <w:rPr>
          <w:rFonts w:ascii="Calibri" w:hAnsi="Calibri"/>
          <w:b w:val="0"/>
          <w:color w:val="3A4A28"/>
          <w:sz w:val="20"/>
        </w:rPr>
        <w:t>Commoditization risk as AI-assisted data labeling tools from competitors reduce the human labor advantage that underpins Innodata's current model [2]</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55% from its 52-week high, and the trailing P/E of 46x reflects premium pricing that requires sustained execution on growth targets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Innodata IS AI infrastructure — the company provides the training data, alignment, safety evaluation, and deployment services that frontier AI models require. As AI models grow larger and more sophisticated, demand for high-quality human-generated training data increases structurally; AI cannot replace the human judgment needed to train, align, and evaluate AI systems [1][2]. The company's role is evolving from data supplier to strategic lifecycle partner, deepening switching costs with major clients. AI Opportunity (1/1): Essentially 100% of Innodata's $252M revenue is AI-related, from training data for large language models to AI-powered media intelligence through Agility PR Solutions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Innodata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INOD key statistics and financial data, accessed May 2026</w:t>
      </w:r>
    </w:p>
    <w:p>
      <w:pPr>
        <w:spacing w:before="20" w:after="20"/>
        <w:ind w:left="170"/>
      </w:pPr>
      <w:r>
        <w:rPr>
          <w:rFonts w:ascii="Calibri" w:hAnsi="Calibri"/>
          <w:b/>
          <w:color w:val="4A6B25"/>
          <w:sz w:val="15"/>
        </w:rPr>
        <w:t xml:space="preserve">3. </w:t>
      </w:r>
      <w:r>
        <w:rPr>
          <w:rFonts w:ascii="Calibri" w:hAnsi="Calibri"/>
          <w:b w:val="0"/>
          <w:color w:val="3A4A28"/>
          <w:sz w:val="17"/>
        </w:rPr>
        <w:t>Innodata corporate website and Glassdoor employee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SEC insider transaction filings for Innodata Inc., November-December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