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INTC</w:t>
      </w:r>
      <w:r>
        <w:rPr>
          <w:rFonts w:ascii="Calibri" w:hAnsi="Calibri"/>
          <w:b/>
          <w:color w:val="1A2010"/>
          <w:sz w:val="40"/>
        </w:rPr>
        <w:t xml:space="preserve">  Intel Corporation</w:t>
      </w:r>
    </w:p>
    <w:p>
      <w:pPr>
        <w:spacing w:after="120"/>
      </w:pPr>
      <w:r>
        <w:rPr>
          <w:rFonts w:ascii="Calibri" w:hAnsi="Calibri"/>
          <w:b/>
          <w:color w:val="6E8450"/>
          <w:sz w:val="18"/>
        </w:rPr>
        <w:t>GROWTH SLEEVE · 2026-05-12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Intel Corporation designs, develops, manufactures, markets, and services computing and related products worldwide. It operates through Client Computing Group (CCG), Data Center and AI (DCAI), and Intel Foundry segments, offering CPUs, discrete GPUs, networking products, and semiconductor fabrication services.</w:t>
      </w:r>
    </w:p>
    <w:p>
      <w:r>
        <w:rPr>
          <w:rFonts w:ascii="Calibri" w:hAnsi="Calibri"/>
          <w:b/>
          <w:color w:val="6E8450"/>
          <w:sz w:val="18"/>
        </w:rPr>
        <w:t>85,100 Employees · https://www.intel.com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Intel has executed a multi-year transformation under IDM 2.0, establishing Intel Foundry Services and investing $100B+ in fab capacity — a historic reinvention of a vertically integrated chipmaker (3 pts track record) [1][2]. AI-related businesses now constitute 60% of revenue and grew 40% YoY in Q1 2026, with data center revenue climbing 22% to $5.1B, demonstrating measurable AI deployment results (2 pts AI deployment) [1]. Intel is the dominant x86 server CPU supplier and is rebuilding market position in AI accelerators, though NVIDIA holds the AI chip leadership position (0 pts market share — not leading). Specific pipeline: AI PC processors, Gaudi AI accelerators, 18A process node for Intel Foundry with committed design wins (1 pt pipeline) [2]. R&amp;D spending is among the highest in semiconductors at over $15B annually (1 pt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Intel's purpose has evolved under CEO Lip-Bu Tan toward 'creating world-changing technology that enriches the lives of every person on earth' — a genuine and specific mission that connects chip manufacturing to human progress, though it has not yet been validated under new leadership (3 pts mission floor) [2]. Intel Foundation and corporate social responsibility programs include STEM education initiatives and community investment, though specific recent dollar amounts were not found in search results (1 pt community impact) [3]. Employee sentiment is mixed during the transformation — significant layoffs (15,000+ in 2024) offset by ongoing hiring for fab expansions and AI roles; culture is in transition under new leadership (0 pts retention) [2]. Lip-Bu Tan has been acquiring shares and has a track record of long-term semiconductor industry leadership from Cadence, but no specific recent insider purchase data was found in search results (2 pts — substantial CEO credibility as an industry veteran who chose to take on the Intel turnaround rather than retire)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Intel's financials reflect a company in expensive transition: D/E of 36% is conservative for a semiconductor company (scores well), but ROE is negative at -2.9% and profit margin is -5.9% due to ongoing foundry investment losses and restructuring charges [4]. Revenue growth of 7.2% YoY is encouraging but below the 10% target. Forward P/E of 84.4 exceeds the 60 floor, scoring 0 — the market is pricing in a full turnaround that hasn't materialized in GAAP terms. PEG ratio of 1.36 is favorable, near the 1.0 target. Q1 2026 revenue of $13.6B with non-GAAP operating margin of 12.3% (up from 5.4%) shows operational improvement [1]. The dividend was suspended in September 2024 after decades of payment. Liquidity floor passes overwhelmingly at $14.3B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Intel demonstrates meaningful infinite game characteristics through its willingness to invest $100B+ in manufacturing at the expense of near-term profitability, and its 58-year history of continuous reinvention in semiconductors. The Just Cause is evolving under new leadership, and the IDM 2.0 bet reflects genuine courage to lead.</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Intel's legacy purpose of democratizing computing power has been a genuine Just Cause for decades — from 'Intel Inside' driving PC adoption to enabling cloud infrastructure. Under Lip-Bu Tan, the cause is being refreshed around making Intel the world's leading foundry and AI silicon provider [2]. The cause has endured through multiple leadership transitions (Grove, Barrett, Otellini, Krzanich, Swan, Gelsinger, Tan) though execution wavered. The cause is genuine and partially lived but has not yet been fully validated under new leadership.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Intel's culture is in significant transition. The 2024 layoffs of 15,000+ employees shook organizational trust, and the rapid CEO transitions (Gelsinger departure, Tan appointment) created uncertainty [2]. Lip-Bu Tan is focused on cultural transformation and workforce restructuring for fab expansion and AI. Victoria Holroyd-Fogg as Interim Chief People Officer oversees employee engagement during transformation. The organization is in a low-trust transition period despite historical strength.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Intel explicitly acknowledges TSMC's manufacturing leadership, AMD's competitive x86 products, and NVIDIA's AI chip dominance. CEO Tan's approach is about learning from competitors' strengths — he has acknowledged that Intel fell behind TSMC in process technology and is studying what made TSMC successful [2]. This reflects a worthy rival mindset rather than zero-sum competition.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IDM 2.0 strategy and Intel Foundry Services launch represent significant strategic evolution — opening Intel's fabs to external customers for the first time in the company's history [1]. This is meaningful adaptation but has been incremental rather than a single transformative pivot. The company is evolving its model while maintaining its legacy businesses.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invest $100B+ in fab expansion while suspending the dividend and accepting near-term losses represents genuine courage — Intel is sacrificing current profitability for multi-decade manufacturing leadership [1][2]. However, much of this investment is subsidized by the CHIPS Act, and the dividend suspension was partly forced by financial necessity rather than purely courageous choice. Tan's willingness to take on the turnaround at 74 years old is itself a courageous leadership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Intel is executing one of the most ambitious turnarounds in semiconductor history under CEO Lip-Bu Tan, with Q1 2026 showing tangible progress: revenue up 7% to $13.6B, non-GAAP operating margin more than doubled to 12.3%, AI-related revenue grew 40% YoY to 60% of total, and data center revenue jumped 22% to $5.1B [1]. The IDM 2.0 strategy and Intel Foundry position the company as essential AI infrastructure with CHIPS Act support.</w:t>
      </w:r>
    </w:p>
    <w:p>
      <w:pPr>
        <w:spacing w:after="120"/>
      </w:pPr>
      <w:r>
        <w:rPr>
          <w:rFonts w:ascii="Calibri" w:hAnsi="Calibri"/>
          <w:b w:val="0"/>
          <w:color w:val="3A4A28"/>
          <w:sz w:val="20"/>
        </w:rPr>
        <w:t>The bear case centers on valuation and execution risk: forward P/E of 84.4 prices in a full turnaround that is still years from GAAP profitability, the foundry business remains deeply unprofitable, and NVIDIA and TSMC maintain commanding leads in AI chips and manufacturing respectively. The dividend suspension, massive capex requirements, and management's caution about H2 2026 PC headwinds add uncertainty. Intel's stock has rallied from $20 to $129 in 18 months, compressing the margin of safety. At current levels, the risk-reward favors holding for existing positions rather than initiating new ones.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AI-related revenue growing 40% YoY with 60% of total revenue from AI businesses could accelerate as enterprise AI adoption broadens beyond hyperscalers [1]</w:t>
      </w:r>
    </w:p>
    <w:p>
      <w:pPr>
        <w:spacing w:before="40" w:after="40"/>
        <w:ind w:left="283"/>
      </w:pPr>
      <w:r>
        <w:rPr>
          <w:rFonts w:ascii="Calibri" w:hAnsi="Calibri"/>
          <w:b/>
          <w:color w:val="4A6B25"/>
          <w:sz w:val="20"/>
        </w:rPr>
        <w:t xml:space="preserve">2. </w:t>
      </w:r>
      <w:r>
        <w:rPr>
          <w:rFonts w:ascii="Calibri" w:hAnsi="Calibri"/>
          <w:b w:val="0"/>
          <w:color w:val="3A4A28"/>
          <w:sz w:val="20"/>
        </w:rPr>
        <w:t>Intel Foundry 18A process node reaching production readiness with design wins could validate the IDM 2.0 thesis and generate external customer revenue [2]</w:t>
      </w:r>
    </w:p>
    <w:p>
      <w:pPr>
        <w:spacing w:before="40" w:after="40"/>
        <w:ind w:left="283"/>
      </w:pPr>
      <w:r>
        <w:rPr>
          <w:rFonts w:ascii="Calibri" w:hAnsi="Calibri"/>
          <w:b/>
          <w:color w:val="4A6B25"/>
          <w:sz w:val="20"/>
        </w:rPr>
        <w:t xml:space="preserve">3. </w:t>
      </w:r>
      <w:r>
        <w:rPr>
          <w:rFonts w:ascii="Calibri" w:hAnsi="Calibri"/>
          <w:b w:val="0"/>
          <w:color w:val="3A4A28"/>
          <w:sz w:val="20"/>
        </w:rPr>
        <w:t>CHIPS Act subsidies ($8.5B) and strategic importance of domestic semiconductor manufacturing provide structural support and potential government contract upside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84.4 and 500%+ stock rally prices in turnaround success — any execution miss (foundry delays, yield issues, customer losses) could trigger sharp correction [4]</w:t>
      </w:r>
    </w:p>
    <w:p>
      <w:pPr>
        <w:spacing w:before="40" w:after="40"/>
        <w:ind w:left="283"/>
      </w:pPr>
      <w:r>
        <w:rPr>
          <w:rFonts w:ascii="Calibri" w:hAnsi="Calibri"/>
          <w:b/>
          <w:color w:val="4A6B25"/>
          <w:sz w:val="20"/>
        </w:rPr>
        <w:t xml:space="preserve">2. </w:t>
      </w:r>
      <w:r>
        <w:rPr>
          <w:rFonts w:ascii="Calibri" w:hAnsi="Calibri"/>
          <w:b w:val="0"/>
          <w:color w:val="3A4A28"/>
          <w:sz w:val="20"/>
        </w:rPr>
        <w:t>Intel Foundry remains deeply unprofitable and competes against TSMC's decades of process leadership; catching up in advanced node manufacturing is not guaranteed [1]</w:t>
      </w:r>
    </w:p>
    <w:p>
      <w:pPr>
        <w:spacing w:before="40" w:after="40"/>
        <w:ind w:left="283"/>
      </w:pPr>
      <w:r>
        <w:rPr>
          <w:rFonts w:ascii="Calibri" w:hAnsi="Calibri"/>
          <w:b/>
          <w:color w:val="4A6B25"/>
          <w:sz w:val="20"/>
        </w:rPr>
        <w:t xml:space="preserve">3. </w:t>
      </w:r>
      <w:r>
        <w:rPr>
          <w:rFonts w:ascii="Calibri" w:hAnsi="Calibri"/>
          <w:b w:val="0"/>
          <w:color w:val="3A4A28"/>
          <w:sz w:val="20"/>
        </w:rPr>
        <w:t>H2 2026 PC market headwinds flagged by management could pressure Client Computing Group revenue, and supply constraints limit ability to fully capitalize on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Intel is semiconductor infrastructure that AI depends on — designing and manufacturing the CPUs, GPUs, and accelerators that power AI training and inference (8 pts risk protection) [1][2]. AI cannot disrupt a chip manufacturer; it only increases demand for compute silicon. Data center revenue grew 22% YoY to $5.1B driven by AI workload demand, and AI-related businesses represent 60% of total revenue [1]. Intel Foundry provides fabrication services for other chipmakers, positioning it as essential physical infrastructure. The CHIPS Act provides additional structural support through $8.5B in subsidies for domestic fab expansion. Intel generates substantial AI revenue: $5.1B in Q1 2026 data center/AI revenue and 60% of total revenue from AI-related businesses, clearly meeting the threshold for AI revenue contribution (score already captured in risk protection as AI infrastructure company)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Intel Q1 2026 Earnings Release, INTC Investor Relations/CNBC, April 2026</w:t>
      </w:r>
    </w:p>
    <w:p>
      <w:pPr>
        <w:spacing w:before="20" w:after="20"/>
        <w:ind w:left="170"/>
      </w:pPr>
      <w:r>
        <w:rPr>
          <w:rFonts w:ascii="Calibri" w:hAnsi="Calibri"/>
          <w:b/>
          <w:color w:val="4A6B25"/>
          <w:sz w:val="15"/>
        </w:rPr>
        <w:t xml:space="preserve">2. </w:t>
      </w:r>
      <w:r>
        <w:rPr>
          <w:rFonts w:ascii="Calibri" w:hAnsi="Calibri"/>
          <w:b w:val="0"/>
          <w:color w:val="3A4A28"/>
          <w:sz w:val="17"/>
        </w:rPr>
        <w:t>Intel Leadership Appointments, CEO Lip-Bu Tan Strategy, Intel Newsroom/BusinessWire, 2025-2026</w:t>
      </w:r>
    </w:p>
    <w:p>
      <w:pPr>
        <w:spacing w:before="20" w:after="20"/>
        <w:ind w:left="170"/>
      </w:pPr>
      <w:r>
        <w:rPr>
          <w:rFonts w:ascii="Calibri" w:hAnsi="Calibri"/>
          <w:b/>
          <w:color w:val="4A6B25"/>
          <w:sz w:val="15"/>
        </w:rPr>
        <w:t xml:space="preserve">3. </w:t>
      </w:r>
      <w:r>
        <w:rPr>
          <w:rFonts w:ascii="Calibri" w:hAnsi="Calibri"/>
          <w:b w:val="0"/>
          <w:color w:val="3A4A28"/>
          <w:sz w:val="17"/>
        </w:rPr>
        <w:t>Intel ESG and Corporate Responsibility, Intel.com/Sustainalytics,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INTC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