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INTR</w:t>
      </w:r>
      <w:r>
        <w:rPr>
          <w:rFonts w:ascii="Calibri" w:hAnsi="Calibri"/>
          <w:b/>
          <w:color w:val="1A2010"/>
          <w:sz w:val="40"/>
        </w:rPr>
        <w:t xml:space="preserve">  Inter &amp; Co, Inc.</w:t>
      </w:r>
    </w:p>
    <w:p>
      <w:pPr>
        <w:spacing w:after="120"/>
      </w:pPr>
      <w:r>
        <w:rPr>
          <w:rFonts w:ascii="Calibri" w:hAnsi="Calibri"/>
          <w:b/>
          <w:color w:val="6E8450"/>
          <w:sz w:val="18"/>
        </w:rPr>
        <w:t>GROWTH SLEEVE · 2026-04-10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Brazil</w:t>
      </w:r>
    </w:p>
    <w:p>
      <w:pPr>
        <w:spacing w:after="80"/>
      </w:pPr>
      <w:r>
        <w:rPr>
          <w:rFonts w:ascii="Calibri" w:hAnsi="Calibri"/>
          <w:b w:val="0"/>
          <w:color w:val="3A4A28"/>
          <w:sz w:val="20"/>
        </w:rPr>
        <w:t>Inter &amp; Co is a Brazilian digital banking platform offering a Super App ecosystem that includes banking, investments, insurance, and e-commerce. Founded in 1994 as a traditional bank, the company transformed into a fully digital platform and listed on NASDAQ in 2022. With 25 million active clients and expanding into the US market, Inter competes with Nubank and traditional Brazilian banks.</w:t>
      </w:r>
    </w:p>
    <w:p>
      <w:r>
        <w:rPr>
          <w:rFonts w:ascii="Calibri" w:hAnsi="Calibri"/>
          <w:b/>
          <w:color w:val="6E8450"/>
          <w:sz w:val="18"/>
        </w:rPr>
        <w:t>https://inter.co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Inter transformed from a traditional Brazilian bank into a leading digital-first Super App with 25 million active clients, adding a record 4.4 million new active clients in 2025 alone [1]. The NASDAQ listing in 2022 and US market expansion demonstrate successful international pivots. AI Deployment (1/2): Inter deploys AI-driven credit decisions across its lending platform, contributing to 36% credit portfolio expansion in 2025 while maintaining risk-adjusted NIM of 9.6% [1][2]. AI is operational but specific dollar savings or AI-attributed revenue gains are not separately quantified. Market Share (1/2): Inter is a significant player in Brazilian digital banking with 25M active clients but trails Nubank (100M+ clients) and faces competition from Itaú, Bradesco, and other incumbents [2]. Growth rate is impressive but market leadership position is not yet established. Pipeline (1/2): US market expansion via global account digital solutions, Super App feature additions, and 2026 guidance targeting 25-30% loan growth show clear forward trajectory [1]. R&amp;D Intensity (0/1): R&amp;D spending is not separately reported as a financial line item for a bank; technology investment is embedded 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Inter's purpose of democratizing access to the digital economy in Brazil is clear, identifies the underserved population, and connects to broader financial inclusion — but the language is shared by most fintechs and doesn't articulate a uniquely transformative vision [2]. CEO João Vitor Menin has consistently framed the company's mission around financial access. Community Impact (1/2): Inter provides meaningful financial inclusion for millions of Brazilians who previously lacked access to digital banking, investing, and insurance — adding 4.4M new active clients in 2025 demonstrates tangible social impact [1]. No specific charitable foundation identified. Employee Retention (1/2): Company culture is described as dynamic, fast-paced, and innovation-oriented with emphasis on teamwork and data-driven decision-making [2]. No specific turnover data or negative cultural flags identified, suggesting adequate organizational health. Insider Buying (1/2): The Menin family maintains significant ownership stake in Inter, and CEO João Vitor Menin's entire career has been dedicated to building the company, though no specific recent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 delivers exceptional financial metrics for a high-growth digital bank. Revenue grew 26.4% YoY with 3yr CAGR of ~42%, net income grew 45% in 2025, and NIM expanded to a record 9.6% [1]. Profit margin of 21.9% is outstanding for a bank, and forward P/E of 7.9x is remarkably cheap for a 25%+ grower — suggesting the market undervalues Brazilian fintech risk [3]. ROE of 14.4% approaches the 15% target and is improving rapidly (the company targets 20%+ ROE). Credit portfolio expanded 36% YoY — 3x the Brazilian market growth rate — while maintaining credit quality [1]. D/E is not available (standard for banks where leverage is the business model). Infrastructure scored mechanically on available metrics: ROE (0.957, 2x), Revenue YoY (1.0), Revenue 5yr CAGR (1.0, 2x), Forward P/E (1.0), Profit Margin (1.0). Weighted sum 6.91/7 = 9.87 → 10. Liquidity cleared: 3.3M avg vol × $8.45 = ~$27.7M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Inter under the Menin family demonstrates strong infinite game characteristics — a 30-year journey from traditional bank to digital-first Super App, with a consistent mission of financial democratization. The transformation from a Minas Gerais regional bank to a NASDAQ-listed fintech with 25M clients represents genuine existential flexibility. The family ownership structure supports long-term thinking over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Inter's cause of democratizing financial access in Brazil has been genuinely pursued across multiple decades and business model transformations [2]. The company's evolution from traditional bank (1994) to digital-first platform demonstrates that the cause of financial inclusion has driven strategic decisions rather than just marketing. The cause is validated by 25M active clients, many of whom gained their first access to digital banking through Inter. However, the cause hasn't been tested through a severe crisis that would prove its primacy over shareholder value.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culture is described as dynamic, collaborative, and encouraging of experimentation with emphasis on breaking down traditional banking silos [2]. Recent senior hires (Santiago Stel as CRO from Mercado Libre) suggest the organization attracts experienced talent from top-tier companies. No significant cultural red flags or high-turnover signals identified, but no exceptional evidence of employee empowerment or long tenure data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Inter explicitly acknowledges Nubank's scale advantage (100M+ vs 25M clients) and traditional banks' (Itaú, Bradesco) distribution and trust advantages, using these rivalries to drive product innovation and service expansion [2]. Management commentary frames competition as motivation to build a better Super App ecosystem rather than to destroy competitors. The decision to differentiate via Super App breadth rather than competing head-on with Nubank's scale shows competitive maturity.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Inter's transformation is one of the most dramatic in Latin American financial services — from a traditional Belo Horizonte bank founded in 1994 to a fully digital Super App listed on NASDAQ with banking, investments, insurance, and e-commerce under one platform [2]. This is a genuine reinvention, not incremental evolution. The NASDAQ listing, US market entry, and Super App model each represent strategic pivots that redefined the company's identity. Sinek would cite this as a textbook example of existential flexibility in service of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Menin family's decision to transform a profitable traditional bank into a digital-first platform — writing off legacy infrastructure and relationships — required genuine courage [2]. Listing on NASDAQ (moving from Brazilian exchange) and entering the US market as a mid-size Brazilian bank demonstrate strategic ambition that prioritized long-term global positioning over comfortable domestic profitability. However, these decisions also aligned with market trends, making them less contrarian than truly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 &amp; Co is a Brazilian digital banking Super App delivering exceptional growth and approaching premium profitability metrics. Full-year 2025 saw 45% net income growth, 36% credit portfolio expansion (3x Brazil market growth), record NIM of 9.6%, and 4.4M new active clients bringing the total to 25M [1]. At a forward P/E of 7.9x, the stock trades at a fraction of US fintech peers despite 26.4% revenue growth, 21.9% profit margin, and ROE approaching 15% with a clear path to 20%+ [3]. The Super App model (banking + investments + insurance + e-commerce) creates multi-product cross-sell opportunities with low incremental customer acquisition cost. 2026 guidance targets 25-30% loan growth, and US market expansion via global digital accounts opens a large incremental addressable market [1]. The Menin family's long-term ownership structure supports patient capital allocation.</w:t>
      </w:r>
    </w:p>
    <w:p>
      <w:pPr>
        <w:spacing w:after="120"/>
      </w:pPr>
      <w:r>
        <w:rPr>
          <w:rFonts w:ascii="Calibri" w:hAnsi="Calibri"/>
          <w:b w:val="0"/>
          <w:color w:val="3A4A28"/>
          <w:sz w:val="20"/>
        </w:rPr>
        <w:t>The bear case centers on Brazil country risk, currency exposure, and competitive intensity. The Brazilian Real's volatility directly impacts USD-denominated returns — INTR shares are US-listed but earnings are primarily in BRL, creating significant FX translation risk [3]. Brazil's macroeconomic environment (high interest rates, political uncertainty, fiscal concerns) could slow consumer lending growth or increase credit losses. Competition is fierce: Nubank (100M+ clients, 4x Inter's scale), Itaú, Bradesco, and other digital banks all target the same Brazilian consumer. Credit quality risk is elevated — 36% credit growth in a single year could seed future NPL problems if the Brazilian economy weakens, and the company's risk-adjusted NIM expansion may not be sustainable [1]. The stock's deep discount to global fintech peers may reflect legitimate emerging market risk rather than mispricing. No disclosed employee count or R&amp;D data limits transparency. D/E is unavailable, making balance sheet risk assessment incomplete for a leveraged financial institution.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ROE trajectory toward management's 20%+ target — current 14.4% ROE with improving NIM (9.6%) and operating leverage suggests significant profitability upside that could trigger valuation re-rating [1]</w:t>
      </w:r>
    </w:p>
    <w:p>
      <w:pPr>
        <w:spacing w:before="40" w:after="40"/>
        <w:ind w:left="283"/>
      </w:pPr>
      <w:r>
        <w:rPr>
          <w:rFonts w:ascii="Calibri" w:hAnsi="Calibri"/>
          <w:b/>
          <w:color w:val="4A6B25"/>
          <w:sz w:val="20"/>
        </w:rPr>
        <w:t xml:space="preserve">2. </w:t>
      </w:r>
      <w:r>
        <w:rPr>
          <w:rFonts w:ascii="Calibri" w:hAnsi="Calibri"/>
          <w:b w:val="0"/>
          <w:color w:val="3A4A28"/>
          <w:sz w:val="20"/>
        </w:rPr>
        <w:t>US market expansion via global digital account — capturing Brazilian diaspora and cross-border financial flows opens a large incremental market with high revenue per client [2]</w:t>
      </w:r>
    </w:p>
    <w:p>
      <w:pPr>
        <w:spacing w:before="40" w:after="40"/>
        <w:ind w:left="283"/>
      </w:pPr>
      <w:r>
        <w:rPr>
          <w:rFonts w:ascii="Calibri" w:hAnsi="Calibri"/>
          <w:b/>
          <w:color w:val="4A6B25"/>
          <w:sz w:val="20"/>
        </w:rPr>
        <w:t xml:space="preserve">3. </w:t>
      </w:r>
      <w:r>
        <w:rPr>
          <w:rFonts w:ascii="Calibri" w:hAnsi="Calibri"/>
          <w:b w:val="0"/>
          <w:color w:val="3A4A28"/>
          <w:sz w:val="20"/>
        </w:rPr>
        <w:t>Super App monetization — cross-selling insurance, investments, and e-commerce to 25M active clients at low incremental cost, with 2026 guidance of 25-30% loan growth sustaining top-line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Real depreciation — BRL/USD volatility directly impacts USD-denominated returns for NASDAQ-listed shares, and Brazil macro deterioration could simultaneously weaken the currency and increase credit losses [3]</w:t>
      </w:r>
    </w:p>
    <w:p>
      <w:pPr>
        <w:spacing w:before="40" w:after="40"/>
        <w:ind w:left="283"/>
      </w:pPr>
      <w:r>
        <w:rPr>
          <w:rFonts w:ascii="Calibri" w:hAnsi="Calibri"/>
          <w:b/>
          <w:color w:val="4A6B25"/>
          <w:sz w:val="20"/>
        </w:rPr>
        <w:t xml:space="preserve">2. </w:t>
      </w:r>
      <w:r>
        <w:rPr>
          <w:rFonts w:ascii="Calibri" w:hAnsi="Calibri"/>
          <w:b w:val="0"/>
          <w:color w:val="3A4A28"/>
          <w:sz w:val="20"/>
        </w:rPr>
        <w:t>Credit quality deterioration — 36% credit portfolio expansion in 2025 far exceeds market growth and could seed NPL problems if Brazil's economy slows, particularly in unsecured consumer lending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Nubank (100M+ clients, 4x scale), traditional bank digitization (Itaú, Bradesco), and potential US fintech entrants into the Brazilian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Inter's core business — digital banking, lending, and financial services — operates within heavily regulated financial markets (Brazilian Central Bank, SEC) with KYC/AML requirements that create structural barriers to AI-only disruptors [2]. The physical-world components of banking (regulatory compliance, capital requirements, deposit insurance) protect the business from pure-play AI substitution. However, AI-native competitors could build superior credit models, customer engagement, and risk management, putting pressure on differentiation. Large tech platforms (Google, Apple, Meta) entering financial services with AI-powered tools represent a medium-term competitive threat [2]. AI Opportunity (1/1): Inter actively deploys AI across its platform — AI-driven credit decisions, personalized product recommendations through the Super App, and AI-enhanced sales conversions — generating measurable business outcomes including 36% credit portfolio growth and record NIM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Inter&amp;Co FY2025 Earnings Release — record results, 36% credit expansion, 45% net income growth, 9.6% NIM, 25M active clients, February 11, 2026</w:t>
      </w:r>
    </w:p>
    <w:p>
      <w:pPr>
        <w:spacing w:before="20" w:after="20"/>
        <w:ind w:left="170"/>
      </w:pPr>
      <w:r>
        <w:rPr>
          <w:rFonts w:ascii="Calibri" w:hAnsi="Calibri"/>
          <w:b/>
          <w:color w:val="4A6B25"/>
          <w:sz w:val="15"/>
        </w:rPr>
        <w:t xml:space="preserve">2. </w:t>
      </w:r>
      <w:r>
        <w:rPr>
          <w:rFonts w:ascii="Calibri" w:hAnsi="Calibri"/>
          <w:b w:val="0"/>
          <w:color w:val="3A4A28"/>
          <w:sz w:val="17"/>
        </w:rPr>
        <w:t>CSQ, eMarketer, WhiteSight — Inter&amp;Co CEO João Vitor Menin profile, digital banking strategy, AI innovation, company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INTR — financial metrics, market cap, volume, P/E ratios,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