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INVH</w:t>
      </w:r>
      <w:r>
        <w:rPr>
          <w:rFonts w:ascii="Calibri" w:hAnsi="Calibri"/>
          <w:b/>
          <w:color w:val="1A2010"/>
          <w:sz w:val="40"/>
        </w:rPr>
        <w:t xml:space="preserve">  Invitation Homes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2026-03-28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Residential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Invitation Homes is an S&amp;P 500 company and the nation's largest owner and operator of single-family rental homes, managing over 100,000 homes across 16 markets. The company acquires, renovates, leases, and manages single-family homes, positioning itself at the intersection of the housing shortage and demographic shift toward renting.</w:t>
      </w:r>
    </w:p>
    <w:p>
      <w:r>
        <w:rPr>
          <w:rFonts w:ascii="Calibri" w:hAnsi="Calibri"/>
          <w:b/>
          <w:color w:val="6E8450"/>
          <w:sz w:val="18"/>
        </w:rPr>
        <w:t>4,400 Employees · https://www.invitationhomes.com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Invitation Homes acquired ResiBuilt in January 2026 for $89M to enter the build-to-rent market, a meaningful but incremental business model extension into development from pure acquisition [1]. The company also launched a Transformation and Innovation Office (TIO) as an internal incubator [2]. AI Deployment (1/2): INVH deploys AI-powered chatbots and leasing technology to reduce customer friction and streamline property management operations, though no specific revenue or cost savings have been quantified publicly [2]. Market Share (2/2): Invitation Homes is the category-defining leader in institutional single-family rentals with 100,000+ homes, the largest portfolio in the industry by a wide margin [1]. Pipeline (1/2): The ResiBuilt acquisition provides a build-to-rent pipeline in high-growth Southeast markets (4,200+ homes delivered since 2018), and 2026 guidance includes $250M of wholly owned new home deliveries [1]. R&amp;D Intensity (0/1): As a REIT, R&amp;D spending is minimal; innovation is driven through operational technology investment rather than formal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Invitation Homes describes its purpose as providing residents with 'a home they can believe in,' which is clear and relevant but not deeply distinctive — it identifies what they do and for whom without articulating a transformative vision [2]. Community Impact (1/2): The company publishes annual sustainability reports and has community investment programs, but the $48M FTC settlement for deceptive fees, withheld security deposits, and pandemic-era eviction practices undermines community impact credibility [3]. Employee Retention (1/2): Glassdoor rating of 3.4/5 with 59% recommending to a friend; employees cite positive culture and 'family-like atmosphere,' though some note heavy workloads and political dynamics from the 2017/2018 merger [2]. Insider Buying (0/2): No evidence of meaningful net insider buying found; CEO Dallas Tanner's $10.97M compensation is 90.9% stock-based but this is grants, not open-market purchases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from financial metrics. D/E of 88.1% (0.92 score), ROE of 6.1% is low for most sectors but typical for REITs (0.41 score), YoY revenue growth of 4.3% (0.81 score), estimated 5yr revenue CAGR of ~7.5% (0.83 score), Forward P/E of 34.2 (0.65 score), profit margin of 21.6% (1.0 score) [4]. Dividend metrics: payout ratio of 121.9% exceeds 100% floor (0.0 score) — high for a REIT but typical as REITs distribute most FFO; 8 consecutive years paid since 2017 (0.80 score, 2x weight); 6 consecutive years of dividend growth 2017-2023 before a decline in 2024 (0.60 score); strong 5yr dividend growth CAGR of ~14.3% (1.0 score, 2x weight) [4]. Weighted sum 8.82/12 = 7.35, rounded to 7. Liquidity floor cleared: 7.2M avg vol × $24.47 = $176M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Invitation Homes displays mixed infinite game characteristics. The company helped create the institutional single-family rental category and has maintained market leadership through multiple housing cycles, but the $48M FTC settlement for deceptive fees and pandemic-era eviction practices reveals a tension between long-term resident relationships and short-term revenue optimization that Simon Sinek would identify as 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Invitation Homes articulates a purpose of providing residents with 'a home they can believe in,' but this cause is undermined by the FTC settlement revealing that CEO Dallas Tanner emailed a senior VP to 'juice this hog' by making smart-home fees mandatory [3]. A company whose CEO frames residents as revenue extraction targets lacks a genuine Just Cause. The housing mission is real but the execution reveals profit-first thinking. Score: 1/3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3.4/5 with positive comments about 'family-like atmosphere' and 'supportive leadership,' though the 2017/2018 merger created cultural friction [2]. The Comparably executive team rating of 93/100 (top 5% for company size) with 95% employee approval is strong evidence of team trust. However, the FTC complaint revealed that employees were directed to withhold eviction moratorium information from tenants, suggesting trust was selectively applied. Score: 1/2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infinite competitive mindset. Invitation Homes frames itself as the industry leader and focuses on market dominance rather than learning from rivals [1]. The acquisition of ResiBuilt suggests a competitive response to build-to-rent rivals rather than a collaborative or improvement-oriented stance. Score: 0/1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ResiBuilt acquisition for $89M in January 2026 represents meaningful strategic evolution from a pure acquisition model to build-to-rent development, adapting to changing market conditions [1]. The company has evolved from Blackstone's post-foreclosure home buying vehicle into an S&amp;P 500 REIT with 100,000+ homes and a technology-enabled operating platform. These are incremental but meaningful adaptations. Score: 1/2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$550M disposition plan in 2026 to fund buybacks shows capital allocation discipline, and the ResiBuilt acquisition demonstrates willingness to invest in new capabilities [1]. However, the FTC settlement and pandemic eviction practices reveal that when tested, leadership chose short-term revenue extraction over resident relationships — the opposite of courageous leadership in Sinek's framework. Score: 1/2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Invitation Homes is the dominant player in the structurally growing single-family rental market with 100,000+ homes across 16 US markets. Full-year 2025 revenue reached $2.73B (up 4.2%) with diluted EPS of $0.96, and 2026 guidance projects core FFO of $1.90-$1.98 per share with same-store occupancy of ~96.3% [1]. The 4.9% dividend yield provides attractive income, and the 5yr dividend growth CAGR of ~14.3% demonstrates strong income growth. The ResiBuilt acquisition opens a build-to-rent pipeline in high-growth Southeast markets, and the structural US housing shortage (estimated 4-7 million units) provides a long-term demand tailwind. At $24.47 per share, the stock trades at a significant discount to its 52-week high, creating potential value entry for income-oriented investors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regulatory risk, margin compression, and governance concerns. The $48M FTC settlement for deceptive fees and unfair eviction practices represents both a financial and reputational liability, with potential for additional state-level enforcement actions following the California AG settlement [3]. 2026 guidance is tepid: NOI growth of 0-2%, core revenue growth of just 1-2.5%, and expense growth of 3-4% implies margin compression [1]. New-lease pricing fell 4.1% in Q4 2025, signaling a more competitive leasing environment. The 121.9% payout ratio exceeds earnings, requiring either FFO-based sustainability or future dividend pressure. Forward P/E of 34.2x is elevated for a low-growth REIT, and institutional single-family rentals face growing political scrutiny as housing affordability remains a national issue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ResiBuilt acquisition and $250M build-to-rent pipeline in high-growth Southeast markets, providing a new growth vector beyond acquisition-only strategy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Structural US housing shortage of 4-7 million units sustaining rental demand and occupancy above 96% across INVH's 16 markets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$550M disposition plan funding share repurchases at depressed valuation, potentially driving per-share growth in FFO and AFFO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Regulatory and litigation risk — $48M FTC settlement sets precedent for additional enforcement; California AG settlement over unlawful rent increases; growing political scrutiny of institutional landlords threatens operating model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compression — 2026 expense growth guidance (3-4%) exceeds revenue growth (1-2.5%), and new-lease pricing fell 4.1% in Q4, signaling competitive pressure that may persist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Payout ratio sustainability — 121.9% payout ratio based on GAAP earnings requires FFO-based analysis; any deterioration in FFO could pressure the dividend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Invitation Homes' core business — owning and managing physical single-family rental homes — is structurally immune to AI substitution [2]. AI cannot replace physical housing, and the company's 100,000+ home portfolio represents hard assets that maintain value regardless of technological disruption. The housing shortage in the US actually creates a structural tailwind. However, AI-enabled proptech competitors could improve property management efficiency and tenant matching, putting pressure on INVH to keep pace with operational technology [2]. The company is investing in its Transformation and Innovation Office and AI-powered leasing tools, demonstrating awareness of the technology curve. AI Opportunity (1/1): INVH generates indirect AI revenue through its AI-powered resident services platform, smart-home technology deployed across its portfolio, and AI-enhanced leasing and maintenance operations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Invitation Homes Q4 2025 Earnings Release and 2026 Guidance — $2.73B revenue, core FFO $1.90-$1.98/share,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Invitation Homes corporate website — Transformation and Innovation Office, AI initiatives, resident services,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FTC Settlement with Invitation Homes — $48M for deceptive fees, junk fees, eviction practices, September 2024; California AG settlement for unlawful rent increases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INVH key statistics, price $24.47, Forward P/E 34.17, D/E 88.1%,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