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w:t>
      </w:r>
      <w:r>
        <w:rPr>
          <w:rFonts w:ascii="Calibri" w:hAnsi="Calibri"/>
          <w:b/>
          <w:color w:val="1A2010"/>
          <w:sz w:val="40"/>
        </w:rPr>
        <w:t xml:space="preserve">  Innventure, Inc.</w:t>
      </w:r>
    </w:p>
    <w:p>
      <w:pPr>
        <w:spacing w:after="120"/>
      </w:pPr>
      <w:r>
        <w:rPr>
          <w:rFonts w:ascii="Calibri" w:hAnsi="Calibri"/>
          <w:b/>
          <w:color w:val="6E8450"/>
          <w:sz w:val="18"/>
        </w:rPr>
        <w:t>GROWTH SLEEVE · 2026-04-21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Innventure identifies, funds, and operates companies built around disruptive sustainable technologies licensed from multinational corporations. Its three portfolio companies are Accelsius (two-phase liquid cooling for data centers), AeroFlexx (flexible liquid packaging), and Refinity (advanced plastic-waste recycling). Founded in 2015 and headquartered in Orlando, Florida.</w:t>
      </w:r>
    </w:p>
    <w:p>
      <w:r>
        <w:rPr>
          <w:rFonts w:ascii="Calibri" w:hAnsi="Calibri"/>
          <w:b/>
          <w:color w:val="6E8450"/>
          <w:sz w:val="18"/>
        </w:rPr>
        <w:t>169 Employees · https://www.innventure.com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Innventure successfully commercialized three disruptive technologies — Accelsius two-phase liquid cooling saw 433% revenue growth in 2025, and the company reported $50M+ in Q1 2026 bookings across all three platforms [1][2]. AeroFlexx flexible packaging and Refinity plastic recycling are earlier stage but advancing toward independent capital formation. AI Deployment (0/2): No AI-powered products or quantified AI-driven efficiencies; the company commercializes physical-world sustainable technologies rather than software or AI solutions [3]. Market Share (2/2): Accelsius is emerging as a differentiated player in the rapidly growing data center liquid cooling market, positioning against incumbent air-cooling systems as AI-driven thermal loads surge — management targets a $100M annual revenue run rate by year-end 2026 [1]. Pipeline (1/2): Clear pipeline visibility with Accelsius targeting cash flow positivity by late 2026 and a $100M run rate, though AeroFlexx and Refinity timelines remain less defined [1]. R&amp;D Intensity (1/1): R&amp;D spending of $25M in 2025 against $2.1M revenue represents extraordinary R&amp;D intensity relative to current revenue, reflecting the pre-commercialization stage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Innventure's stated purpose — to build revolutionary companies around sustainable technology solutions that solve major global challenges — is specific and thoughtful, connecting commercial outcomes to environmental impact through liquid cooling efficiency, sustainable packaging, and plastic-waste recycling [3]. Community Impact (1/2): The company's portfolio directly addresses sustainability challenges (data center energy consumption, plastic waste, packaging sustainability), though dollar-level charitable or community investment data is not publicly reported [3]. Employee Retention (1/2): CEO Bill Haskell emphasizes trust-based leadership and psychological safety as organizational values, and the company publishes thought leadership on creating cultures where breakthrough innovation flourishes, though specific retention metrics are not available for a 169-employee company [3]. Insider Buying (0/2): A director sold 2,992 shares of INV stock in a recent Form 4 filing, and no meaningful net insider buying was found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Innventure is in a pre-profit commercialization phase with $2.1M consolidated revenue in 2025 (up 80.3% YoY from $1.2M) against operating losses of $118M before a $346.6M goodwill impairment [4]. The balance sheet shows $60.4M cash against $33.4M debt (D/E of only 6.9%), but the company burned $80.7M in operating cash flow in 2025 and carries a going-concern qualification from auditors [4][6]. Revenue growth is strong at 80.3% YoY and 29.6% 3-year CAGR, but from a minimal base — forward P/E is negative as the company is not expected to be profitable near-term (EPS forward -$0.445) [7]. Profit margin is effectively zero, and ROE is deeply negative at -76% due to accumulated losses. Liquidity floor cleared: $6.19 × 1.65M avg volume = $10.2M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Innventure demonstrates genuine infinite-game qualities through its long-term commitment to commercializing sustainable technologies that address enduring global challenges. The company's model — licensing proven technologies from multinationals and building standalone companies around them — reflects patient, cause-driven thinking rather than quarterly optimization. However, the company is young (founded 2015), has not yet been tested through sustained adversity, and the going-concern qualification introduces existential financial pressure that could force finite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Innventure's cause — building revolutionary companies around sustainable technologies to solve critical global challenges in energy efficiency, packaging waste, and plastic recycling — is genuine and partially validated by execution [3]. The company's three portfolio companies each address a meaningful environmental problem, and leadership consistently references this purpose in strategic decisions. However, the company has not yet proven this cause through a full economic cycle or leadership transition, limiting it to a developing just cause rather than a proven one.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Bill Haskell publicly emphasizes trust-based leadership, psychological safety, and empowering teams to take smart risks as organizational pillars [3]. The company publishes thought leadership on creating cultures where failure is treated as a learning opportunity and continuous learning is prioritized. At 169 employees, the organization is small enough for leadership to directly influence culture, though no specific retention data or employee sentiment metrics are available to verify these claims.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Innventure frames its competitive positioning in terms of solving customer problems better rather than defeating competitors, acknowledging that incumbent solutions (air cooling, traditional packaging) have strengths while positioning its technologies as next-generation alternatives for specific use cases [3]. The company's language focuses on technology superiority and customer outcomes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Innventure's model inherently requires flexibility — the company identifies, licenses, and commercializes different technologies from different multinationals, adapting its portfolio to emerging sustainability opportunities [3]. The pivot from a pure venture model to a publicly traded platform that funds its own portfolio companies represents meaningful business model evolution. However, the company has not yet faced a true existential flexibility test where it abandoned a profitable business line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Innventure's decision to continue investing heavily ($80.7M operating cash burn) in pre-revenue technologies despite a going-concern qualification demonstrates conviction in the long-term thesis over short-term financial safety [4][6]. The company is making costly long-term bets on sustainable technology commercialization while facing real financial pressure, though it remains to be seen whether this reflects courage or simply the necessities of a pre-profit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Innventure is an early-stage platform commercializing three sustainable technologies with significant market potential, led by Accelsius two-phase liquid cooling which reported 433% revenue growth in 2025 and $50M+ in Q1 2026 bookings [1][2]. Management targets a $100M Accelsius annual revenue run rate by year-end 2026 and cash flow positivity by late 2026, representing a potential inflection from pre-revenue to meaningful scale [1]. The company sits at the intersection of AI infrastructure demand (liquid cooling for high-density data centers) and sustainability (packaging waste reduction, plastic recycling), with a low D/E of 6.9% and $60.4M cash providing near-term runway [7]. At a $496M market cap, the stock offers significant upside if Accelsius achieves its revenue targets.</w:t>
      </w:r>
    </w:p>
    <w:p>
      <w:pPr>
        <w:spacing w:after="120"/>
      </w:pPr>
      <w:r>
        <w:rPr>
          <w:rFonts w:ascii="Calibri" w:hAnsi="Calibri"/>
          <w:b w:val="0"/>
          <w:color w:val="3A4A28"/>
          <w:sz w:val="20"/>
        </w:rPr>
        <w:t>The bear case is substantial: Innventure carries a going-concern qualification from its auditors, burned $80.7M in operating cash flow in 2025 against only $2.1M in consolidated revenue, and posted a $475M net loss driven by a $346.6M goodwill impairment [4][6]. The company has no path to profitability without Accelsius executing flawlessly on its $100M run rate target, and revenue guidance is heavily back-end weighted in 2026 with customer construction timelines creating execution risk [1]. Commonwealth Asset Management filed a Schedule 13D in February 2026, suggesting activist pressure that could distract management [5]. AeroFlexx and Refinity remain pre-meaningful-revenue, and the company needs continued capital market access to fund operations — dilution risk is real for a company with negative operating cash flow and a $496M market cap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Accelsius achieving $100M annual revenue run rate by year-end 2026, validating the data center liquid cooling thesis and potentially triggering cash flow positivity [1]</w:t>
      </w:r>
    </w:p>
    <w:p>
      <w:pPr>
        <w:spacing w:before="40" w:after="40"/>
        <w:ind w:left="283"/>
      </w:pPr>
      <w:r>
        <w:rPr>
          <w:rFonts w:ascii="Calibri" w:hAnsi="Calibri"/>
          <w:b/>
          <w:color w:val="4A6B25"/>
          <w:sz w:val="20"/>
        </w:rPr>
        <w:t xml:space="preserve">2. </w:t>
      </w:r>
      <w:r>
        <w:rPr>
          <w:rFonts w:ascii="Calibri" w:hAnsi="Calibri"/>
          <w:b w:val="0"/>
          <w:color w:val="3A4A28"/>
          <w:sz w:val="20"/>
        </w:rPr>
        <w:t>Conversion of $50M+ Q1 2026 bookings backlog into recognized revenue through H2 2026, demonstrating commercial traction at scale [2]</w:t>
      </w:r>
    </w:p>
    <w:p>
      <w:pPr>
        <w:spacing w:before="40" w:after="40"/>
        <w:ind w:left="283"/>
      </w:pPr>
      <w:r>
        <w:rPr>
          <w:rFonts w:ascii="Calibri" w:hAnsi="Calibri"/>
          <w:b/>
          <w:color w:val="4A6B25"/>
          <w:sz w:val="20"/>
        </w:rPr>
        <w:t xml:space="preserve">3. </w:t>
      </w:r>
      <w:r>
        <w:rPr>
          <w:rFonts w:ascii="Calibri" w:hAnsi="Calibri"/>
          <w:b w:val="0"/>
          <w:color w:val="3A4A28"/>
          <w:sz w:val="20"/>
        </w:rPr>
        <w:t>AeroFlexx and Refinity reaching independent capital formation milestones, reducing parent-level cash burn and validating the multi-platform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qualification and $80.7M annual operating cash burn with only $60.4M cash — potential dilutive capital raises or liquidity crisis if Accelsius revenue ramp is delayed [4][6]</w:t>
      </w:r>
    </w:p>
    <w:p>
      <w:pPr>
        <w:spacing w:before="40" w:after="40"/>
        <w:ind w:left="283"/>
      </w:pPr>
      <w:r>
        <w:rPr>
          <w:rFonts w:ascii="Calibri" w:hAnsi="Calibri"/>
          <w:b/>
          <w:color w:val="4A6B25"/>
          <w:sz w:val="20"/>
        </w:rPr>
        <w:t xml:space="preserve">2. </w:t>
      </w:r>
      <w:r>
        <w:rPr>
          <w:rFonts w:ascii="Calibri" w:hAnsi="Calibri"/>
          <w:b w:val="0"/>
          <w:color w:val="3A4A28"/>
          <w:sz w:val="20"/>
        </w:rPr>
        <w:t>Back-end-weighted 2026 revenue guidance tied to customer data center construction timelines creates significant execution risk and potential for missed targets [1]</w:t>
      </w:r>
    </w:p>
    <w:p>
      <w:pPr>
        <w:spacing w:before="40" w:after="40"/>
        <w:ind w:left="283"/>
      </w:pPr>
      <w:r>
        <w:rPr>
          <w:rFonts w:ascii="Calibri" w:hAnsi="Calibri"/>
          <w:b/>
          <w:color w:val="4A6B25"/>
          <w:sz w:val="20"/>
        </w:rPr>
        <w:t xml:space="preserve">3. </w:t>
      </w:r>
      <w:r>
        <w:rPr>
          <w:rFonts w:ascii="Calibri" w:hAnsi="Calibri"/>
          <w:b w:val="0"/>
          <w:color w:val="3A4A28"/>
          <w:sz w:val="20"/>
        </w:rPr>
        <w:t>Commonwealth Asset Management activist involvement (Schedule 13D filing) could force management into value-destructive short-term decisions or proxy fight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Innventure's core business involves physical-world manufacturing and deployment of hardware technologies — two-phase liquid cooling systems, flexible packaging, and plastic recycling infrastructure — that AI cannot substitute [1][3]. Accelsius is a direct beneficiary of AI expansion: as AI workloads drive data center power density beyond air-cooling capacity, demand for liquid cooling solutions surges. Management explicitly positions Accelsius as solving the AI-era energy crisis in data centers, and the $50M+ Q1 2026 bookings validate this thesis [1][2]. AeroFlexx and Refinity are physical manufacturing businesses with zero AI substitution risk. AI Opportunity (1/1): Accelsius generates quantifiable revenue from AI-related infrastructure — its liquid cooling systems are deployed in AI/HPC data centers, and the $100M revenue run rate target is driven substantially by AI-driven thermal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Innventure Q4 2025 Earnings Call — $2.1M consolidated revenue, 433% Accelsius growth, $100M run rate target, March 2026</w:t>
      </w:r>
    </w:p>
    <w:p>
      <w:pPr>
        <w:spacing w:before="20" w:after="20"/>
        <w:ind w:left="170"/>
      </w:pPr>
      <w:r>
        <w:rPr>
          <w:rFonts w:ascii="Calibri" w:hAnsi="Calibri"/>
          <w:b/>
          <w:color w:val="4A6B25"/>
          <w:sz w:val="15"/>
        </w:rPr>
        <w:t xml:space="preserve">2. </w:t>
      </w:r>
      <w:r>
        <w:rPr>
          <w:rFonts w:ascii="Calibri" w:hAnsi="Calibri"/>
          <w:b w:val="0"/>
          <w:color w:val="3A4A28"/>
          <w:sz w:val="17"/>
        </w:rPr>
        <w:t>Innventure Q1 2026 Bookings Announcement — $50M+ bookings across Accelsius, AeroFlexx, and Refinity, April 2026</w:t>
      </w:r>
    </w:p>
    <w:p>
      <w:pPr>
        <w:spacing w:before="20" w:after="20"/>
        <w:ind w:left="170"/>
      </w:pPr>
      <w:r>
        <w:rPr>
          <w:rFonts w:ascii="Calibri" w:hAnsi="Calibri"/>
          <w:b/>
          <w:color w:val="4A6B25"/>
          <w:sz w:val="15"/>
        </w:rPr>
        <w:t xml:space="preserve">3. </w:t>
      </w:r>
      <w:r>
        <w:rPr>
          <w:rFonts w:ascii="Calibri" w:hAnsi="Calibri"/>
          <w:b w:val="0"/>
          <w:color w:val="3A4A28"/>
          <w:sz w:val="17"/>
        </w:rPr>
        <w:t>Innventure corporate website — mission, leadership philosophy, technology descriptions,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Innventure 10-K Annual Report FY2025 — $475M net loss, $346.6M goodwill impairment, going-concern qualification</w:t>
      </w:r>
    </w:p>
    <w:p>
      <w:pPr>
        <w:spacing w:before="20" w:after="20"/>
        <w:ind w:left="170"/>
      </w:pPr>
      <w:r>
        <w:rPr>
          <w:rFonts w:ascii="Calibri" w:hAnsi="Calibri"/>
          <w:b/>
          <w:color w:val="4A6B25"/>
          <w:sz w:val="15"/>
        </w:rPr>
        <w:t xml:space="preserve">5. </w:t>
      </w:r>
      <w:r>
        <w:rPr>
          <w:rFonts w:ascii="Calibri" w:hAnsi="Calibri"/>
          <w:b w:val="0"/>
          <w:color w:val="3A4A28"/>
          <w:sz w:val="17"/>
        </w:rPr>
        <w:t>Innventure 8-K/13D — Commonwealth Asset Management Schedule 13D filing and company response, February 2026</w:t>
      </w:r>
    </w:p>
    <w:p>
      <w:pPr>
        <w:spacing w:before="20" w:after="20"/>
        <w:ind w:left="170"/>
      </w:pPr>
      <w:r>
        <w:rPr>
          <w:rFonts w:ascii="Calibri" w:hAnsi="Calibri"/>
          <w:b/>
          <w:color w:val="4A6B25"/>
          <w:sz w:val="15"/>
        </w:rPr>
        <w:t xml:space="preserve">6. </w:t>
      </w:r>
      <w:r>
        <w:rPr>
          <w:rFonts w:ascii="Calibri" w:hAnsi="Calibri"/>
          <w:b w:val="0"/>
          <w:color w:val="3A4A28"/>
          <w:sz w:val="17"/>
        </w:rPr>
        <w:t>Innventure SEC filings — director stock sales, Form 4 insider trading activity,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data for INV (Innventure),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