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IOVA</w:t>
      </w:r>
      <w:r>
        <w:rPr>
          <w:rFonts w:ascii="Calibri" w:hAnsi="Calibri"/>
          <w:b/>
          <w:color w:val="1A2010"/>
          <w:sz w:val="40"/>
        </w:rPr>
        <w:t xml:space="preserve">  Iovance Biotherapeutics, Inc.</w:t>
      </w:r>
    </w:p>
    <w:p>
      <w:pPr>
        <w:spacing w:after="120"/>
      </w:pPr>
      <w:r>
        <w:rPr>
          <w:rFonts w:ascii="Calibri" w:hAnsi="Calibri"/>
          <w:b/>
          <w:color w:val="6E8450"/>
          <w:sz w:val="18"/>
        </w:rPr>
        <w:t>GROWTH SLEEVE · 2026-03-24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Iovance Biotherapeutics is a commercial-stage biopharmaceutical company focused on tumor-infiltrating lymphocyte (TIL) cell therapies. Its flagship product Amtagvi (lifileucel) became the first FDA-approved TIL cell therapy for metastatic melanoma in February 2024, achieving $220M in U.S. net sales in 2025. Full-year 2025 revenue was $263.5M, up 61% YoY, with Amtagvi revenue growing 112% as the company ramps toward profitability.</w:t>
      </w:r>
    </w:p>
    <w:p>
      <w:r>
        <w:rPr>
          <w:rFonts w:ascii="Calibri" w:hAnsi="Calibri"/>
          <w:b/>
          <w:color w:val="6E8450"/>
          <w:sz w:val="18"/>
        </w:rPr>
        <w:t>700 Employees · https://www.iovance.com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Iovance earns 3/3 on Innovation Track Record: the company delivered the world's first FDA-approved TIL cell therapy, a transformative accomplishment that created an entirely new modality in oncology [1]. This is not incremental — it opened a new category of cancer treatment. AI Deployment scores 0/2: no evidence of AI-powered patient selection or manufacturing optimization quantified in public materials. Market Share scores 1/2: Amtagvi is the only approved TIL therapy, making Iovance the de facto category leader, but the market is nascent and competitive TIL programs from other companies are in development. Pipeline scores 2/2: lifileucel in non-small cell lung cancer (IOV-LUN-202) shows 26% ORR with median duration of response not yet reached at 25+ months, targeting H2 2027 approval; sarcoma trial shows 50% ORR in early data [2]. R&amp;D scores 1/1: a biopharmaceutical company at this stage invests heavily in R&amp;D relative to revenue. Total: 3+0+1+2+1 = 7.</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Iovance's mission — advancing TIL cell therapy to give patients with advanced cancers new hope — is specific and validated by the first FDA approval in the category [1]. Mission floor scores 3/4: the purpose is genuinely transformative and validated by the Amtagvi approval. Community impact scores 0/2: no distinctive charitable programs beyond standard patient access programs. Employee retention scores 1/2: biopharma companies with a commercial product typically show above-average retention for scientists and medical professionals; no specific data available. Insider buying scores 1/2: CEO Bahija Jallal and other executives have maintained equity positions; specific insider transaction data not available. Total: 3+0+1+1 =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IOVA financial infrastructure reflects a commercial-stage but pre-profitability biopharma. Revenue $263.5M FY2025 (+61% YoY); gross margin improving to 50% in Q4 2025 (best ever) [1]; net loss $391M FY2025; cash $303M with runway into Q3 2027. D/E: estimated ~80% from convertible debt; ROE: deeply negative; Margin: ~-148% net (operating loss). Rev growth YoY 61%: (61-(-20))/(10-(-20))=2.7 → 1.0; Rev 5yr CAGR: company launched product in 2024; treat prior years as pre-revenue; 2yr CAGR ~200%: 1.0 ×2; D/E 80%: (300-80)/(300-70)=0.957; ROE negative: 0.0 ×2; Fwd PE: negative EPS → 0; Profit margin negative → 0; PEG negative → 0 ×2. Sum: D/E(1×0.957)+ROE(2×0)+RevYoY(1×1.0)+Rev5yr(2×1.0)+FwdPE(0)+Margin(0)+PEG(2×0)=0.957+0+1.0+2.0=3.957/10=0.40 → score 4. Discount to 3 given $391M net loss and runway only to Q3 2027.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Iovance is genuinely committed to advancing a new modality in cancer treatment and has demonstrated years of investment before Amtagvi's approval. The Just Cause — giving advanced cancer patients new treatment options — is clear and validated. However, the company's focus on a single product franchise and the urgency of achieving profitability before its 2027 cash runway expires creates finite-game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Iovance's Just Cause — advancing cell therapy to give metastatic cancer patients new hope — is specific, validated by FDA approval, and connects the company's scientific work to genuine patient impact [1]. Scores 2/3: the cause is genuine and lived out through the Amtagvi launch, but multi-decade consistency has not yet been tested.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Bahija Jallal has led the company through the Amtagvi approval and commercial launch with a consistent scientific leadership team. The 50% gross margin improvement in Q4 2025 reflects operational learning [1]. Adequate organizational trust; scores 1/2.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Iovance acknowledges competitors developing TIL programs and uses competitive dynamics to accelerate its own pipeline expansion into NSCLC and sarcoma [2]. Management language is focused on improving patient outcomes rather than defeating competitors. Scores 1/1.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Iovance successfully transitioned from pure R&amp;D to a commercial company and is now expanding into new indications — a meaningful but incremental evolution of the business model [2]. Scores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years of investment in TIL manufacturing infrastructure before FDA approval, and the decision to expand into NSCLC and sarcoma despite cash constraints, reflect courage to invest for long-term capability [1]. One clear pattern of long-term investment. Scores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Iovance's Amtagvi is the world's first approved TIL cell therapy, generating $220M in U.S. net sales in FY2025 (112% YoY growth) with best-ever 50% gross margin in Q4 [1]. The company is expanding internationally — approved in Canada, submissions under review in UK, Australia, and Europe — with regulatory decisions in H1 2026 that could unlock significant additional revenue. The NSCLC TIL program shows a 26% ORR with durable responses exceeding 25 months, targeting a 2027 approval in a much larger market than melanoma.</w:t>
      </w:r>
    </w:p>
    <w:p>
      <w:pPr>
        <w:spacing w:after="120"/>
      </w:pPr>
      <w:r>
        <w:rPr>
          <w:rFonts w:ascii="Calibri" w:hAnsi="Calibri"/>
          <w:b w:val="0"/>
          <w:color w:val="3A4A28"/>
          <w:sz w:val="20"/>
        </w:rPr>
        <w:t>The bear case is the cash runway: Iovance has only $303M in cash with runway into Q3 2027, against $391M in net losses in 2025 [1]. Without profitability or an additional capital raise, the company faces dilution risk. Revenue guidance has not yet been issued for 2026 despite CEO comments about 'remarkable growth.' The cell therapy manufacturing process is complex and difficult to scale rapidly, limiting near-term revenue acceleration. Average IOVA stock moves of -14% after earnings also reflect investor skepticism about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EU/UK regulatory approval of Amtagvi would open significant new markets; European melanoma market is comparable in size to the U.S.</w:t>
      </w:r>
    </w:p>
    <w:p>
      <w:pPr>
        <w:spacing w:before="40" w:after="40"/>
        <w:ind w:left="283"/>
      </w:pPr>
      <w:r>
        <w:rPr>
          <w:rFonts w:ascii="Calibri" w:hAnsi="Calibri"/>
          <w:b/>
          <w:color w:val="4A6B25"/>
          <w:sz w:val="20"/>
        </w:rPr>
        <w:t xml:space="preserve">2. </w:t>
      </w:r>
      <w:r>
        <w:rPr>
          <w:rFonts w:ascii="Calibri" w:hAnsi="Calibri"/>
          <w:b w:val="0"/>
          <w:color w:val="3A4A28"/>
          <w:sz w:val="20"/>
        </w:rPr>
        <w:t>NSCLC TIL program (IOV-LUN-202) enrollment completion and FDA filing in 2026 would provide a second major approved indication in a far larger market</w:t>
      </w:r>
    </w:p>
    <w:p>
      <w:pPr>
        <w:spacing w:before="40" w:after="40"/>
        <w:ind w:left="283"/>
      </w:pPr>
      <w:r>
        <w:rPr>
          <w:rFonts w:ascii="Calibri" w:hAnsi="Calibri"/>
          <w:b/>
          <w:color w:val="4A6B25"/>
          <w:sz w:val="20"/>
        </w:rPr>
        <w:t xml:space="preserve">3. </w:t>
      </w:r>
      <w:r>
        <w:rPr>
          <w:rFonts w:ascii="Calibri" w:hAnsi="Calibri"/>
          <w:b w:val="0"/>
          <w:color w:val="3A4A28"/>
          <w:sz w:val="20"/>
        </w:rPr>
        <w:t>Achieving Q4 2026 profitability on the path guided by management would remove the cash runway overhang and eliminate dilution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only into Q3 2027 with $391M net loss in 2025 — will require profitability or additional capital raise to avoid dilution</w:t>
      </w:r>
    </w:p>
    <w:p>
      <w:pPr>
        <w:spacing w:before="40" w:after="40"/>
        <w:ind w:left="283"/>
      </w:pPr>
      <w:r>
        <w:rPr>
          <w:rFonts w:ascii="Calibri" w:hAnsi="Calibri"/>
          <w:b/>
          <w:color w:val="4A6B25"/>
          <w:sz w:val="20"/>
        </w:rPr>
        <w:t xml:space="preserve">2. </w:t>
      </w:r>
      <w:r>
        <w:rPr>
          <w:rFonts w:ascii="Calibri" w:hAnsi="Calibri"/>
          <w:b w:val="0"/>
          <w:color w:val="3A4A28"/>
          <w:sz w:val="20"/>
        </w:rPr>
        <w:t>Complex TIL manufacturing limits patient access and revenue scaling; the 32-day turnaround is a structural constraint on revenue ramp rate</w:t>
      </w:r>
    </w:p>
    <w:p>
      <w:pPr>
        <w:spacing w:before="40" w:after="40"/>
        <w:ind w:left="283"/>
      </w:pPr>
      <w:r>
        <w:rPr>
          <w:rFonts w:ascii="Calibri" w:hAnsi="Calibri"/>
          <w:b/>
          <w:color w:val="4A6B25"/>
          <w:sz w:val="20"/>
        </w:rPr>
        <w:t xml:space="preserve">3. </w:t>
      </w:r>
      <w:r>
        <w:rPr>
          <w:rFonts w:ascii="Calibri" w:hAnsi="Calibri"/>
          <w:b w:val="0"/>
          <w:color w:val="3A4A28"/>
          <w:sz w:val="20"/>
        </w:rPr>
        <w:t>Competitive TIL programs from Instil Bio, Turnstone, and others could erode Iovance's first-mover advantage in later indications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Iovance's TIL cell therapy business is structurally protected from AI substitution: manufacturing living cell therapies from a patient's own tumor-infiltrating lymphocytes requires physical biological processes that AI cannot replicate [1]. The 32-day manufacturing turnaround involves complex cell expansion and quality testing that is inherently human-biological. Analysts have not flagged AI disruption risk for cell therapy manufacturers. However, AI-assisted drug discovery could accelerate competitive TIL programs from other companies, and AI-driven cancer diagnosis improvements could shift treatment paradigms. Earns 7/9 on AI Risk Protection (protected — physical biological manufacturing) and 0/1 on AI Opportunity (no quantified AI revenue). Total: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Iovance Biotherapeutics Q4 2025 Financial Results, GlobeNewsWire, February 24, 2026</w:t>
      </w:r>
    </w:p>
    <w:p>
      <w:pPr>
        <w:spacing w:before="20" w:after="20"/>
        <w:ind w:left="170"/>
      </w:pPr>
      <w:r>
        <w:rPr>
          <w:rFonts w:ascii="Calibri" w:hAnsi="Calibri"/>
          <w:b/>
          <w:color w:val="4A6B25"/>
          <w:sz w:val="15"/>
        </w:rPr>
        <w:t xml:space="preserve">2. </w:t>
      </w:r>
      <w:r>
        <w:rPr>
          <w:rFonts w:ascii="Calibri" w:hAnsi="Calibri"/>
          <w:b w:val="0"/>
          <w:color w:val="3A4A28"/>
          <w:sz w:val="17"/>
        </w:rPr>
        <w:t>Iovance Q4 Earnings Call Highlights, The Markets Daily, February 27, 2026</w:t>
      </w:r>
    </w:p>
    <w:p>
      <w:pPr>
        <w:spacing w:before="20" w:after="20"/>
        <w:ind w:left="170"/>
      </w:pPr>
      <w:r>
        <w:rPr>
          <w:rFonts w:ascii="Calibri" w:hAnsi="Calibri"/>
          <w:b/>
          <w:color w:val="4A6B25"/>
          <w:sz w:val="15"/>
        </w:rPr>
        <w:t xml:space="preserve">3. </w:t>
      </w:r>
      <w:r>
        <w:rPr>
          <w:rFonts w:ascii="Calibri" w:hAnsi="Calibri"/>
          <w:b w:val="0"/>
          <w:color w:val="3A4A28"/>
          <w:sz w:val="17"/>
        </w:rPr>
        <w:t>StockTitan, 'Iovance Q4 revenue ~$87M, FY25 hits $264M guidance', 2026</w:t>
      </w:r>
    </w:p>
    <w:p>
      <w:pPr>
        <w:spacing w:before="20" w:after="20"/>
        <w:ind w:left="170"/>
      </w:pPr>
      <w:r>
        <w:rPr>
          <w:rFonts w:ascii="Calibri" w:hAnsi="Calibri"/>
          <w:b/>
          <w:color w:val="4A6B25"/>
          <w:sz w:val="15"/>
        </w:rPr>
        <w:t xml:space="preserve">4. </w:t>
      </w:r>
      <w:r>
        <w:rPr>
          <w:rFonts w:ascii="Calibri" w:hAnsi="Calibri"/>
          <w:b w:val="0"/>
          <w:color w:val="3A4A28"/>
          <w:sz w:val="17"/>
        </w:rPr>
        <w:t>TipRanks, 'Iovance Highlights Amtagvi Revenue Growth and Profitability Path',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