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IPSC</w:t>
      </w:r>
      <w:r>
        <w:rPr>
          <w:rFonts w:ascii="Calibri" w:hAnsi="Calibri"/>
          <w:b/>
          <w:color w:val="1A2010"/>
          <w:sz w:val="40"/>
        </w:rPr>
        <w:t xml:space="preserve">  Century Therapeutics, Inc.</w:t>
      </w:r>
    </w:p>
    <w:p>
      <w:pPr>
        <w:spacing w:after="120"/>
      </w:pPr>
      <w:r>
        <w:rPr>
          <w:rFonts w:ascii="Calibri" w:hAnsi="Calibri"/>
          <w:b/>
          <w:color w:val="6E8450"/>
          <w:sz w:val="18"/>
        </w:rPr>
        <w:t>GROWTH SLEEVE · 2026-04-20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Century Therapeutics, Inc. is a biotechnology company developing allogeneic cell therapies derived from induced pluripotent stem cells (iPSCs) for the treatment of solid tumors, hematological malignancies, and autoimmune diseases. Lead candidates include CNTY-813 for type 1 diabetes and CNTY-308 for B-cell autoimmune diseases.</w:t>
      </w:r>
    </w:p>
    <w:p>
      <w:r>
        <w:rPr>
          <w:rFonts w:ascii="Calibri" w:hAnsi="Calibri"/>
          <w:b/>
          <w:color w:val="6E8450"/>
          <w:sz w:val="18"/>
        </w:rPr>
        <w:t>78 Employees · https://www.centurytx.com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Century's iPSC-derived allogeneic cell therapy platform represents a differentiated approach in the cell therapy space, with Allo-Evasion 5.0 immune-evasion technology a genuine scientific advance [1]. However, the company has yet to deliver a commercial product—CNTY-813 IND submission is expected Q4 2026 with clinical data not until H2 2027 [1]. The pivot from oncology (CNTY-101) to autoimmune and diabetes indications shows strategic flexibility but also reflects earlier pipeline setbacks. R&amp;D intensity is high relative to the $0.8M quarterly collaboration revenue, but that's typical for pre-clinical biotechs. No AI deployment with measurable results evident.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Century's mission to 'develop transformative allogeneic cell therapies' for patients with unmet medical need is functionally adequate but lacks distinctiveness [3]. Leadership turnover is concerning—former CEO departed in late 2023, replaced by Brent Pfeiffenberger in December 2023 [2]. Glassdoor reviews (3.9/5) cite micromanagement by the CEO and bullying behavior toward scientists, though compensation (4.6/5) and work-life balance (4.2/5) score well [2]. With only 78 employees and ongoing restructuring cycles, cultural stability is uncertain. No notable insider buying patterns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Century is pre-revenue with negative EPS of -$0.14 trailing and -$0.53 forward, generating essentially no commercial revenue [1]. D/E of 27.4% is manageable, but ROE is deeply negative at -6.0%, and profit margin is -8.8% [4]. The January 2026 $135M private placement extends cash runway to Q1 2029, providing operational security [1]. However, with stock price at $2.60 and avg daily volume of 1.43M shares, the liquidity floor check yields $2.60 x 1,432,037 = $3.72M &gt; $1M, so the floor is cleared. Forward P/E of -4.9 reflects market expectations of continued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Century demonstrates elements of long-term thinking through its platform approach to cell therapy and willingness to pivot from oncology to autoimmune/diabetes, but leadership instability, restructuring cycles, and a narrow cash window create finite-game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cure diseases through iPSC-derived cell therapies represents a worthy long-term cause—replacing dysfunctional cells for type 1 diabetes and autoimmune diseases addresses genuine unmet need [1]. However, the cause is common among biotech peers and lacks the distinctive articulation that would inspire extraordinary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concerning dynamics: CEO micromanagement of scientists, bullying behavior, and a People team that 'acts like they do not notice' [2]. The constant cycle of layoffs and shifting project priorities undermines psychological safety. Compensation scores high (4.6/5) but trust in leadership is clearly strained with only 72% recommending the workplace.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Century competes against well-funded allogeneic cell therapy peers including Caribou Biosciences, Fate Therapeutics (acquired), and autologous leaders like Vertex (type 1 diabetes). The BMS collaboration (now limited) showed willingness to learn from partners, but the strategic pivot away from oncology suggests reactive positioning rather than proactive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oncology-focused CNTY-101 to autoimmune (CNTY-308) and diabetes (CNTY-813) demonstrates meaningful existential flexibility—the company recognized shifting competitive dynamics in oncology CAR-T and redirected its platform to areas with less competition and higher unmet need [1]. The $135M capital raise provides runway to execute this strategic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transition in late 2023 and subsequent restructuring suggest reactive decision-making rather than courageous long-term leadership [2]. The company has made difficult choices (pivoting away from oncology, reducing headcount) but these appear driven by necessity rather than visionary courage. New CEO Pfeiffenberger's track record is still being established.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Therapeutics is a high-risk, early-stage biotech with a differentiated iPSC platform and sufficient cash runway to reach key clinical milestones in 2027. The Allo-Evasion 5.0 technology, if validated clinically, could represent a step-change in allogeneic cell therapy manufacturing and efficacy.</w:t>
      </w:r>
    </w:p>
    <w:p>
      <w:pPr>
        <w:spacing w:after="120"/>
      </w:pPr>
      <w:r>
        <w:rPr>
          <w:rFonts w:ascii="Calibri" w:hAnsi="Calibri"/>
          <w:b w:val="0"/>
          <w:color w:val="3A4A28"/>
          <w:sz w:val="20"/>
        </w:rPr>
        <w:t>However, the company is pre-revenue with no near-term path to profitability, leadership instability raises execution concerns, and clinical success in diabetes/autoimmune indications remains unproven. The risk-reward profile is highly speculative—appropriate only for investors with high risk tolerance and multi-year time horizons willing to bet on platform validation.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CNTY-813 IND submission expected Q4 2026 for type 1 diabetes, with initial clinical data in H2 2027</w:t>
      </w:r>
    </w:p>
    <w:p>
      <w:pPr>
        <w:spacing w:before="40" w:after="40"/>
        <w:ind w:left="283"/>
      </w:pPr>
      <w:r>
        <w:rPr>
          <w:rFonts w:ascii="Calibri" w:hAnsi="Calibri"/>
          <w:b/>
          <w:color w:val="4A6B25"/>
          <w:sz w:val="20"/>
        </w:rPr>
        <w:t xml:space="preserve">2. </w:t>
      </w:r>
      <w:r>
        <w:rPr>
          <w:rFonts w:ascii="Calibri" w:hAnsi="Calibri"/>
          <w:b w:val="0"/>
          <w:color w:val="3A4A28"/>
          <w:sz w:val="20"/>
        </w:rPr>
        <w:t>CNTY-308 expected to enter clinic in 2026 for B-cell autoimmune diseases, expanding pipeline optionality</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to Q1 2029 via $135M raise, removing near-term dilution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burning cash with no commercial products—clinical failure would devastate equity value</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and cultural concerns may impair execution of complex cell therapy manufacturing scale-up</w:t>
      </w:r>
    </w:p>
    <w:p>
      <w:pPr>
        <w:spacing w:before="40" w:after="40"/>
        <w:ind w:left="283"/>
      </w:pPr>
      <w:r>
        <w:rPr>
          <w:rFonts w:ascii="Calibri" w:hAnsi="Calibri"/>
          <w:b/>
          <w:color w:val="4A6B25"/>
          <w:sz w:val="20"/>
        </w:rPr>
        <w:t xml:space="preserve">3. </w:t>
      </w:r>
      <w:r>
        <w:rPr>
          <w:rFonts w:ascii="Calibri" w:hAnsi="Calibri"/>
          <w:b w:val="0"/>
          <w:color w:val="3A4A28"/>
          <w:sz w:val="20"/>
        </w:rPr>
        <w:t>Competitive landscape intensifying with Vertex's type 1 diabetes cell therapy advancing and larger players entering allogeneic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direct disruption risk to Century's core cell therapy platform—iPSC-derived allogeneic therapies require deep biological expertise, proprietary gene editing, and complex manufacturing that cannot be readily automated or replaced by AI [3]. AI could serve as an enabler in target identification and manufacturing process optimization, though the company shows no evidence of deploying AI tools currently. The competitive moat lies in biological IP (Allo-Evasion technology) and cell engineering know-how, which are not susceptible to AI-driven commoditization. Low disruption risk, modest opportunity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Therapeutics Full Year 2025 Financial Results and Business Updates, GlobeNewsWire,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Century Therapeutics Leadership Changes and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Century Therapeutics Corporate Overview and Sustainalytics ESG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IPSC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