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IP</w:t>
      </w:r>
      <w:r>
        <w:rPr>
          <w:rFonts w:ascii="Calibri" w:hAnsi="Calibri"/>
          <w:b/>
          <w:color w:val="1A2010"/>
          <w:sz w:val="40"/>
        </w:rPr>
        <w:t xml:space="preserve">  International Paper Company</w:t>
      </w:r>
    </w:p>
    <w:p>
      <w:pPr>
        <w:spacing w:after="120"/>
      </w:pPr>
      <w:r>
        <w:rPr>
          <w:rFonts w:ascii="Calibri" w:hAnsi="Calibri"/>
          <w:b/>
          <w:color w:val="6E8450"/>
          <w:sz w:val="18"/>
        </w:rPr>
        <w:t>DIVIDEND SLEEVE · 2026-03-28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United States</w:t>
      </w:r>
    </w:p>
    <w:p>
      <w:pPr>
        <w:spacing w:after="80"/>
      </w:pPr>
      <w:r>
        <w:rPr>
          <w:rFonts w:ascii="Calibri" w:hAnsi="Calibri"/>
          <w:b w:val="0"/>
          <w:color w:val="3A4A28"/>
          <w:sz w:val="20"/>
        </w:rPr>
        <w:t>International Paper produces and sells renewable fiber-based packaging in North America, Latin America, Europe, South America, and North Africa. Following the January 2025 acquisition of DS Smith, the company operates through Packaging Solutions North America and Packaging Solutions EMEA segments, offering linerboard, containerboard, and corrugated packaging for food, beverage, agriculture, and industrial customers.</w:t>
      </w:r>
    </w:p>
    <w:p>
      <w:r>
        <w:rPr>
          <w:rFonts w:ascii="Calibri" w:hAnsi="Calibri"/>
          <w:b/>
          <w:color w:val="6E8450"/>
          <w:sz w:val="18"/>
        </w:rPr>
        <w:t>62,602 Employees · https://www.internationalpaper.com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$7.2B DS Smith acquisition (closed January 2025) was a transformative deal that doubled International Paper's revenue to $23.6B and expanded the company into European packaging markets [1]. The planned separation into two independent public companies represents further strategic evolution. AI Deployment (0/2): No evidence of AI product deployment or quantified AI-driven operational savings was found — the company's public communications do not reference AI strategy or AI-powered products [2]. Market Share (2/2): International Paper is the world's largest packaging company by revenue following the DS Smith acquisition, with dominant market share in North American containerboard and a growing European presence [1]. Pipeline (0/2): No specific next-generation products with launch dates — the pipeline is the $710M cost-out program and planned company separation, which are operational rather than product innovations [1]. R&amp;D Intensity (1/1): Investment in sustainable packaging materials, renewable fiber-based products, and GIS mapping for supply chain sustainability tracking puts IP above commodity packaging peers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International Paper's purpose — delivering renewable packaging solutions that protect the products people need — is clear and connects to sustainability, but is not deeply distinctive from packaging peers like WestRock or Smurfit Kappa [3]. Community Impact (1/2): IP has published sustainability reports with Vision 2030 targets including 25% water use reduction and 35% GHG reduction, but diversity targets show significant gaps (17.9% women vs. 30% target) [3]. Employee Retention (1/2): CEO Andy Silvernail achieved best-in-class employee engagement and 500%+ total shareholder return during his prior tenure at IDEX Corporation — a strong track record, but IP-specific data under his leadership (since May 2024) is limited [2]. Insider Buying (1/2): Silvernail was recruited from KKR as a 'principles-based leader driven by purpose,' and his strategic agility in customer segmentation, innovation, and M&amp;A is well-documented, suggesting executive conviction in the IP turnaround story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International Paper's financial profile is heavily distorted by the DS Smith integration year. Revenue growth of 53.1% YoY is acquisition-driven rather than organic, inflating the growth metric [1][4]. The critical weaknesses are negative ROE of -24.7% (scoring 0) and negative profit margin of -14.9% (scoring 0), reflecting integration charges, restructuring costs, and Q4 2025 EPS of -$0.08 [1]. D/E of 71.1% is nearly at the 70% target, and forward P/E of 12.2x is reasonable for a packaging company. Dividend metrics are weak: payout ratio of 158% (above the 100% floor, scoring 0) on negative earnings, no dividend growth since 2021 ($1.85 annually), and zero consecutive years of growth — though 64 consecutive years paid since 1962 is exceptional (2x weighted, scoring full marks) [4]. Total debt of $10.5B against $1.1B cash creates leverage concern. Liquidity floor easily cleared: 6.9M avg vol × $35.45 = $246.1M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International Paper's 128-year history and 64 consecutive years of dividends demonstrate endurance, but the company has primarily grown through financial engineering (acquisitions, spinoffs, and cost restructuring) rather than purpose-driven innovation. The DS Smith integration and planned company separation represent finite strategic moves to unlock value rather than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International Paper's stated purpose — 'creating what's next to make things better for people, the planet and our company' — is generic and interchangeable with any materials company [3]. Despite 128 years of operations, the company has not articulated a distinctive Just Cause that has driven strategic decisions through crises. The frequent strategic pivots (divesting timberlands, spinning off businesses, acquiring DS Smith) suggest financial optimization rather than purpose-driven strategy. Scores 1 of 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Silvernail achieved best-in-class employee engagement at IDEX and brings a reputation as a 'principles-based leader' [2]. The integration of DS Smith's 30,000+ employees into IP's 62,602-person organization is ongoing, creating natural uncertainty. No major layoff announcements or cultural red flags, but the integration period limits trust assessment. Scores 1 of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International Paper's acquisition of DS Smith explicitly acknowledged a rival's strengths — DS Smith's European market position, circular economy expertise, and customer relationships were worth $7.2B to acquire rather than compete against [1]. This reflects an infinite competitive mindset of absorbing strengths rather than destroying rivals. Scores 1 of 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International Paper has evolved from a diversified forest products company to a focused packaging company through a series of divestitures and acquisitions over decades, but the core business — turning trees into boxes — remains fundamentally unchanged since founding in 1898 [1]. The DS Smith acquisition expanded geography but not business model. No evidence of transformative reinvention. Scores 0 of 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$7.2B DS Smith acquisition was a bold bet on European expansion, and CEO Silvernail's $710M cost-out program and $5B EBITDA target by 2027 show willingness to restructure aggressively [1]. However, hiring a CEO from KKR (private equity background) signals financial optimization priorities, and the planned separation into two companies is a standard private equity playbook move. Scores 1 of 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International Paper is the world's largest packaging company following the DS Smith acquisition, offering a 5.22% dividend yield at 12.2x forward P/E with analyst-projected EPS surging 746% from $0.28 (FY2025) to $2.37 (FY2026) as integration charges roll off [1][4]. The $710M cost-out program and $400M in combined commercial and operational benefits expected in 2026 provide clear earnings visibility toward the $5B EBITDA target by 2027 [1]. E-commerce growth structurally increases corrugated packaging demand, and IP's renewable fiber-based products are positioned to benefit from plastic-to-paper substitution trends. The 64-year unbroken dividend streak and 62,602-person global workforce demonstrate institutional durability [4].</w:t>
      </w:r>
    </w:p>
    <w:p>
      <w:pPr>
        <w:spacing w:after="120"/>
      </w:pPr>
      <w:r>
        <w:rPr>
          <w:rFonts w:ascii="Calibri" w:hAnsi="Calibri"/>
          <w:b w:val="0"/>
          <w:color w:val="3A4A28"/>
          <w:sz w:val="20"/>
        </w:rPr>
        <w:t>The bear case focuses on integration execution risk and current financial weakness. Negative ROE (-24.7%), negative profit margin (-14.9%), and Q4 2025 EPS of -$0.08 reflect a company deep in restructuring mode [4]. Total debt of $10.5B against $1.1B cash creates significant leverage, and the 158% payout ratio means the dividend is currently uncovered by earnings — sustainability depends entirely on the earnings recovery materializing [4]. IP's $498M+ in cumulative environmental penalties since 2000 and the recent $500K Bogalusa mill fine for Clean Air Act violations undermine the sustainability narrative [3]. The planned separation into two independent companies creates execution complexity and potential value destruction. Organic revenue has been declining (2023: $16B, 2024: $15.8B) with the top-line growth entirely acquisition-driven [1]. EMEA site restructuring and &gt;$160M in run-rate savings imply further workforce reductions in the European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DS Smith integration synergies — $710M cost-out program with $200M commercial benefits and $200M cost savings expected in 2026, driving earnings recovery toward $2.37 EPS [1]</w:t>
      </w:r>
    </w:p>
    <w:p>
      <w:pPr>
        <w:spacing w:before="40" w:after="40"/>
        <w:ind w:left="283"/>
      </w:pPr>
      <w:r>
        <w:rPr>
          <w:rFonts w:ascii="Calibri" w:hAnsi="Calibri"/>
          <w:b/>
          <w:color w:val="4A6B25"/>
          <w:sz w:val="20"/>
        </w:rPr>
        <w:t xml:space="preserve">2. </w:t>
      </w:r>
      <w:r>
        <w:rPr>
          <w:rFonts w:ascii="Calibri" w:hAnsi="Calibri"/>
          <w:b w:val="0"/>
          <w:color w:val="3A4A28"/>
          <w:sz w:val="20"/>
        </w:rPr>
        <w:t>Planned separation into two independent public companies could unlock value by creating focused packaging businesses for North America and EMEA [1]</w:t>
      </w:r>
    </w:p>
    <w:p>
      <w:pPr>
        <w:spacing w:before="40" w:after="40"/>
        <w:ind w:left="283"/>
      </w:pPr>
      <w:r>
        <w:rPr>
          <w:rFonts w:ascii="Calibri" w:hAnsi="Calibri"/>
          <w:b/>
          <w:color w:val="4A6B25"/>
          <w:sz w:val="20"/>
        </w:rPr>
        <w:t xml:space="preserve">3. </w:t>
      </w:r>
      <w:r>
        <w:rPr>
          <w:rFonts w:ascii="Calibri" w:hAnsi="Calibri"/>
          <w:b w:val="0"/>
          <w:color w:val="3A4A28"/>
          <w:sz w:val="20"/>
        </w:rPr>
        <w:t>Plastic-to-paper packaging substitution trend and e-commerce growth providing structural demand tailwinds for corrugated packaging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Integration execution risk — DS Smith acquisition creates $10.5B in total debt and negative current profitability (ROE -24.7%, profit margin -14.9%) that must recover to sustain the 5.22% dividend yield [4]</w:t>
      </w:r>
    </w:p>
    <w:p>
      <w:pPr>
        <w:spacing w:before="40" w:after="40"/>
        <w:ind w:left="283"/>
      </w:pPr>
      <w:r>
        <w:rPr>
          <w:rFonts w:ascii="Calibri" w:hAnsi="Calibri"/>
          <w:b/>
          <w:color w:val="4A6B25"/>
          <w:sz w:val="20"/>
        </w:rPr>
        <w:t xml:space="preserve">2. </w:t>
      </w:r>
      <w:r>
        <w:rPr>
          <w:rFonts w:ascii="Calibri" w:hAnsi="Calibri"/>
          <w:b w:val="0"/>
          <w:color w:val="3A4A28"/>
          <w:sz w:val="20"/>
        </w:rPr>
        <w:t>Environmental regulatory exposure — $498M+ in cumulative penalties since 2000 with ongoing Bogalusa mill violations highlight compliance challenges across 62,602-employee global operations [3]</w:t>
      </w:r>
    </w:p>
    <w:p>
      <w:pPr>
        <w:spacing w:before="40" w:after="40"/>
        <w:ind w:left="283"/>
      </w:pPr>
      <w:r>
        <w:rPr>
          <w:rFonts w:ascii="Calibri" w:hAnsi="Calibri"/>
          <w:b/>
          <w:color w:val="4A6B25"/>
          <w:sz w:val="20"/>
        </w:rPr>
        <w:t xml:space="preserve">3. </w:t>
      </w:r>
      <w:r>
        <w:rPr>
          <w:rFonts w:ascii="Calibri" w:hAnsi="Calibri"/>
          <w:b w:val="0"/>
          <w:color w:val="3A4A28"/>
          <w:sz w:val="20"/>
        </w:rPr>
        <w:t>Cyclical demand vulnerability — containerboard pricing is commodity-driven, and organic revenue declined before the DS Smith acquisition, with the cost-intensive integration leaving limited margin of safety in a downturn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International Paper's core business — manufacturing corrugated packaging from renewable fiber — is fundamentally physical and cannot be replaced by AI. Every e-commerce package, food shipment, and industrial product still needs a physical box, and AI is structurally incapable of substituting this need [1]. The growth of e-commerce (which AI accelerates) actually increases demand for corrugated packaging. Forest fiber sourcing, paper manufacturing, and box converting involve complex physical supply chains with regulatory, environmental, and logistics requirements that create natural barriers to AI disruption. AI Opportunity (0/1): No evidence of AI-generated revenue or AI-powered products. International Paper has not publicly discussed AI strategy or AI-driven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International Paper Q4 2025 Earnings and 2026 Guidance — $24.1-24.9B revenue, $3.5-3.7B EBITDA, $710M cost-out program, February 2026</w:t>
      </w:r>
    </w:p>
    <w:p>
      <w:pPr>
        <w:spacing w:before="20" w:after="20"/>
        <w:ind w:left="170"/>
      </w:pPr>
      <w:r>
        <w:rPr>
          <w:rFonts w:ascii="Calibri" w:hAnsi="Calibri"/>
          <w:b/>
          <w:color w:val="4A6B25"/>
          <w:sz w:val="15"/>
        </w:rPr>
        <w:t xml:space="preserve">2. </w:t>
      </w:r>
      <w:r>
        <w:rPr>
          <w:rFonts w:ascii="Calibri" w:hAnsi="Calibri"/>
          <w:b w:val="0"/>
          <w:color w:val="3A4A28"/>
          <w:sz w:val="17"/>
        </w:rPr>
        <w:t>International Paper leadership — CEO Andy Silvernail (ex-IDEX/KKR), 500%+ TSR at IDEX, principles-based leadership, May 2024</w:t>
      </w:r>
    </w:p>
    <w:p>
      <w:pPr>
        <w:spacing w:before="20" w:after="20"/>
        <w:ind w:left="170"/>
      </w:pPr>
      <w:r>
        <w:rPr>
          <w:rFonts w:ascii="Calibri" w:hAnsi="Calibri"/>
          <w:b/>
          <w:color w:val="4A6B25"/>
          <w:sz w:val="15"/>
        </w:rPr>
        <w:t xml:space="preserve">3. </w:t>
      </w:r>
      <w:r>
        <w:rPr>
          <w:rFonts w:ascii="Calibri" w:hAnsi="Calibri"/>
          <w:b w:val="0"/>
          <w:color w:val="3A4A28"/>
          <w:sz w:val="17"/>
        </w:rPr>
        <w:t>EPA / Violation Tracker — International Paper $498M+ cumulative penalties, Bogalusa mill $500K Clean Air Act fine, sustainability report gaps, 2000-2025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IP (International Paper),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