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w:t>
      </w:r>
      <w:r>
        <w:rPr>
          <w:rFonts w:ascii="Calibri" w:hAnsi="Calibri"/>
          <w:b/>
          <w:color w:val="1A2010"/>
          <w:sz w:val="40"/>
        </w:rPr>
        <w:t xml:space="preserve">  iQIYI, Inc.</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China</w:t>
      </w:r>
    </w:p>
    <w:p>
      <w:pPr>
        <w:spacing w:after="80"/>
      </w:pPr>
      <w:r>
        <w:rPr>
          <w:rFonts w:ascii="Calibri" w:hAnsi="Calibri"/>
          <w:b w:val="0"/>
          <w:color w:val="3A4A28"/>
          <w:sz w:val="20"/>
        </w:rPr>
        <w:t>iQIYI is China's leading online entertainment platform, often called the 'Netflix of China,' offering professionally produced content, user-generated videos, and AI-driven interactive experiences. The company is majority-owned by Baidu and serves hundreds of millions of subscribers across China and international markets.</w:t>
      </w:r>
    </w:p>
    <w:p>
      <w:r>
        <w:rPr>
          <w:rFonts w:ascii="Calibri" w:hAnsi="Calibri"/>
          <w:b/>
          <w:color w:val="6E8450"/>
          <w:sz w:val="18"/>
        </w:rPr>
        <w:t>4,603 Employees · https://www.iqiyi.com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iQIYI filed 880 invention patents in 2025, with over half driven by AI applications, earning a place in the Top 100 Chinese Enterprises for Valid Invention Patents [1]. Script Studio evaluates 17,000+ scripts in 30 minutes using AI, while nearly 1,000 AI-driven IP characters held over 1 billion conversations with users [2]. The AIGC strategy across content creation, production, distribution, and immersive experiences positions iQIYI as a tech-first entertainment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and CEO Gong Yu has provided consistent strategic vision since 2009, earning GQ China's 'Businessman of the Year' recognition [2]. The culture balances creativity with technology, with core values of Innovation, Quality, User-Centricity, and Integrity. However, the company has undergone significant headcount reductions and operates in a challenging macro environment that constrains employee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iQIYI's financial position is precarious with negative profit margins of -0.8%, negative ROE of -1.5%, and D/E of 114.6% reflecting heavy content debt [1]. Revenue declined 7% in full-year 2025 to RMB 27.3 billion, and the stock has fallen 40% over 52 weeks [3]. While membership revenue grew 30%+ and the overseas business expands, the overall revenue contraction and lack of profitability suggest structural challenges in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iQIYI demonstrates long-term vision through sustained investment in original content and AI technology despite years of losses, but financial pressures increasingly force short-term cost-cutting decisions. The company's expansion into overseas markets and consumer products shows strategic ambition, though execution remains constrained by capital limitations.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Gong Yu's vision of making Asian culture a global phenomenon through technology and entertainment represents an inspiring purpose beyond profit [2]. The company's investment in original Chinese content that competes globally demonstrates cultural mission alignment.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Significant workforce reductions and cost-cutting measures erode team trust, despite leadership's emphasis on creative talent investment [1]. The company's operating environment under Baidu's majority ownership creates additional organizational complexity and competing priorities.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iQIYI competes with Tencent Video, Bilibili, and international platforms, using rivalry to sharpen content quality [2]. However, the intense price competition and content wars in China's streaming market reflect finite-game dynamics focused on subscriber acquisition rather than sustainable differentiation.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toward overseas markets (Brazil, Mexico, Indonesia with 80%+ membership revenue growth) and consumer products (targeting 100% revenue growth) shows strategic flexibility [1]. The AIGC investment demonstrates willingness to transform the content creation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Gong Yu's continued investment in original premium content despite persistent losses shows conviction, but the company has also retreated from content spend in response to shareholder pressure [2]. The balance between artistic ambition and financial discipline remains unresolved.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iQIYI offers a speculative value play at 6.7x forward earnings on China's leading streaming platform, with membership revenue accelerating 30-40% YoY and overseas markets growing 80%+ in key regions like Brazil and Indonesia [1]. The company's AI-first content strategy with 880 invention patents filed in 2025 could dramatically reduce content costs while improving engagement, and the 'Tao Dou' AI assistant and interactive IP characters represent new monetization vectors [2]. At a $1.2B market cap, the stock prices in significant pessimism with asymmetric upside if China's consumer economy recovers.</w:t>
      </w:r>
    </w:p>
    <w:p>
      <w:pPr>
        <w:spacing w:after="120"/>
      </w:pPr>
      <w:r>
        <w:rPr>
          <w:rFonts w:ascii="Calibri" w:hAnsi="Calibri"/>
          <w:b w:val="0"/>
          <w:color w:val="3A4A28"/>
          <w:sz w:val="20"/>
        </w:rPr>
        <w:t>The bear case is substantial — full-year revenue declined 7%, the company remains unprofitable with D/E of 114.6%, and the stock has fallen 40% in 52 weeks [3]. Competition from Tencent Video and Bilibili for premium content and advertising dollars intensifies, while Baidu's majority ownership creates governance overhang and limits strategic independence. ADR delisting risk and China's regulatory environment for content platforms add structural uncertainty, and the company's $15.2B in debt versus $4.7B cash creates meaningful balance sheet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AIGC cost reduction delivering 30-50% savings on content production, potentially enabling breakeven profitability by mid-2026 as the technology scales across the content pipeline [1]</w:t>
      </w:r>
    </w:p>
    <w:p>
      <w:pPr>
        <w:spacing w:before="40" w:after="40"/>
        <w:ind w:left="283"/>
      </w:pPr>
      <w:r>
        <w:rPr>
          <w:rFonts w:ascii="Calibri" w:hAnsi="Calibri"/>
          <w:b/>
          <w:color w:val="4A6B25"/>
          <w:sz w:val="20"/>
        </w:rPr>
        <w:t xml:space="preserve">2. </w:t>
      </w:r>
      <w:r>
        <w:rPr>
          <w:rFonts w:ascii="Calibri" w:hAnsi="Calibri"/>
          <w:b w:val="0"/>
          <w:color w:val="3A4A28"/>
          <w:sz w:val="20"/>
        </w:rPr>
        <w:t>Overseas expansion to 80%+ growth markets (Brazil, Mexico, Indonesia) reaching critical mass in subscriber density, with consumer products targeting 100% revenue growth in 2026 [2]</w:t>
      </w:r>
    </w:p>
    <w:p>
      <w:pPr>
        <w:spacing w:before="40" w:after="40"/>
        <w:ind w:left="283"/>
      </w:pPr>
      <w:r>
        <w:rPr>
          <w:rFonts w:ascii="Calibri" w:hAnsi="Calibri"/>
          <w:b/>
          <w:color w:val="4A6B25"/>
          <w:sz w:val="20"/>
        </w:rPr>
        <w:t xml:space="preserve">3. </w:t>
      </w:r>
      <w:r>
        <w:rPr>
          <w:rFonts w:ascii="Calibri" w:hAnsi="Calibri"/>
          <w:b w:val="0"/>
          <w:color w:val="3A4A28"/>
          <w:sz w:val="20"/>
        </w:rPr>
        <w:t>China consumer stimulus measures boosting advertising market recovery, which combined with record subscriber growth could drive revenue inflection from decline to growth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D/E of 114.6% could force dilutive equity raises or debt restructuring if content spending and overseas expansion fail to generate returns within 12-18 months [1]</w:t>
      </w:r>
    </w:p>
    <w:p>
      <w:pPr>
        <w:spacing w:before="40" w:after="40"/>
        <w:ind w:left="283"/>
      </w:pPr>
      <w:r>
        <w:rPr>
          <w:rFonts w:ascii="Calibri" w:hAnsi="Calibri"/>
          <w:b/>
          <w:color w:val="4A6B25"/>
          <w:sz w:val="20"/>
        </w:rPr>
        <w:t xml:space="preserve">2. </w:t>
      </w:r>
      <w:r>
        <w:rPr>
          <w:rFonts w:ascii="Calibri" w:hAnsi="Calibri"/>
          <w:b w:val="0"/>
          <w:color w:val="3A4A28"/>
          <w:sz w:val="20"/>
        </w:rPr>
        <w:t>ADR delisting risk under HFCAA or escalating U.S.-China tensions could force conversion to Hong Kong listing, reducing liquidity and institutional access [3]</w:t>
      </w:r>
    </w:p>
    <w:p>
      <w:pPr>
        <w:spacing w:before="40" w:after="40"/>
        <w:ind w:left="283"/>
      </w:pPr>
      <w:r>
        <w:rPr>
          <w:rFonts w:ascii="Calibri" w:hAnsi="Calibri"/>
          <w:b/>
          <w:color w:val="4A6B25"/>
          <w:sz w:val="20"/>
        </w:rPr>
        <w:t xml:space="preserve">3. </w:t>
      </w:r>
      <w:r>
        <w:rPr>
          <w:rFonts w:ascii="Calibri" w:hAnsi="Calibri"/>
          <w:b w:val="0"/>
          <w:color w:val="3A4A28"/>
          <w:sz w:val="20"/>
        </w:rPr>
        <w:t>Baidu's controlling ownership could result in related-party transactions or strategic decisions that prioritize parent company interests over minority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critical enabler for iQIYI, reducing content production costs through AIGC tools while enhancing user engagement with personalized recommendations and interactive AI characters [1]. Script Studio and AI-driven dubbing reduce production timelines and costs by 30-50%, directly improving the company's cost structure [2]. However, AI-generated content also lowers barriers to entry for competitors, partially offsetting the cost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iQIYI Q4 2025 Earnings Call Highlights, February 2026; China Daily — iQIYI returns to revenue growth</w:t>
      </w:r>
    </w:p>
    <w:p>
      <w:pPr>
        <w:spacing w:before="20" w:after="20"/>
        <w:ind w:left="170"/>
      </w:pPr>
      <w:r>
        <w:rPr>
          <w:rFonts w:ascii="Calibri" w:hAnsi="Calibri"/>
          <w:b/>
          <w:color w:val="4A6B25"/>
          <w:sz w:val="15"/>
        </w:rPr>
        <w:t xml:space="preserve">2. </w:t>
      </w:r>
      <w:r>
        <w:rPr>
          <w:rFonts w:ascii="Calibri" w:hAnsi="Calibri"/>
          <w:b w:val="0"/>
          <w:color w:val="3A4A28"/>
          <w:sz w:val="17"/>
        </w:rPr>
        <w:t>iQIYI 2025 Patent Report; Yahoo Finance — IQ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IQ stock performance and analyst estimates,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