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IRT</w:t>
      </w:r>
      <w:r>
        <w:rPr>
          <w:rFonts w:ascii="Calibri" w:hAnsi="Calibri"/>
          <w:b/>
          <w:color w:val="1A2010"/>
          <w:sz w:val="40"/>
        </w:rPr>
        <w:t xml:space="preserve">  Independence Realty Trust, Inc.</w:t>
      </w:r>
    </w:p>
    <w:p>
      <w:pPr>
        <w:spacing w:after="120"/>
      </w:pPr>
      <w:r>
        <w:rPr>
          <w:rFonts w:ascii="Calibri" w:hAnsi="Calibri"/>
          <w:b/>
          <w:color w:val="6E8450"/>
          <w:sz w:val="18"/>
        </w:rPr>
        <w:t>DIVIDEND SLEEVE · 2026-04-11 · Inspire: 34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Residential · NYSE · United States</w:t>
      </w:r>
    </w:p>
    <w:p>
      <w:pPr>
        <w:spacing w:after="80"/>
      </w:pPr>
      <w:r>
        <w:rPr>
          <w:rFonts w:ascii="Calibri" w:hAnsi="Calibri"/>
          <w:b w:val="0"/>
          <w:color w:val="3A4A28"/>
          <w:sz w:val="20"/>
        </w:rPr>
        <w:t>Independence Realty Trust, Inc. is a self-administered and self-managed real estate investment trust that acquires, owns, operates, improves and manages multifamily apartment communities across non-gateway U.S. markets. The company focuses on Sun Belt and secondary markets with favorable population and employment growth dynamics.</w:t>
      </w:r>
    </w:p>
    <w:p>
      <w:r>
        <w:rPr>
          <w:rFonts w:ascii="Calibri" w:hAnsi="Calibri"/>
          <w:b/>
          <w:color w:val="6E8450"/>
          <w:sz w:val="18"/>
        </w:rPr>
        <w:t>904 Employees · https://www.irtliving.com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IRT completed its transformative merger with Steadfast Apartment REIT (STAR) in 2022, doubling its portfolio to 110+ communities and repositioning the company as a mid-cap multifamily REIT, though this was a single inorganic event rather than sustained innovation [1]. AI Deployment (0/2): No evidence of AI-powered products, smart building technology deployments, or AI-driven operational efficiencies in IRT's property management operations. Market Share Leadership (1/2): IRT operates approximately 110 communities across non-gateway Sun Belt markets, making it a meaningful mid-cap player in multifamily REITs but not a category leader [1]. Product Pipeline (1/2): Management cited 'meaningfully better' 2026 fundamentals as supply pressures recede, with ongoing value-add renovation programs driving rent premiums, though specific pipeline visibility is limited to same-store NOI guidance of -0.6% to +2.2% [1]. R&amp;D Intensity (0/1): No evidence of above-average technology or innovation spending relative to residential REIT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IRT's corporate profile emphasizes 'providing quality apartment homes' in affordable non-gateway markets — clear and sector-specific but not deeply distinctive or aspirational beyond industry norms [3]. Community &amp; Charitable Impact (1/2): IRT publishes annual sustainability reports and has board-level ESG oversight with 7 of 10 directors possessing ESG expertise, but no specific philanthropic programs or dollar amounts cited [4]. Employee Retention (1/2): CEO Scott Schaeffer's 13-year tenure and Glassdoor reviews (3.5/5) noting that 'upper management genuinely cares' and 'values employee feedback' suggest adequate culture, though 904 employees for 110+ communities implies lean staffing [2]. Insider Buying (0/2): Net insider selling — Director Gebert has been consistently selling 500 shares per month for at least 7 consecutive months ($7,425-$8,690 per sale), with no offsetting insider purchases beyond compensation grants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IRT's balance sheet strength is its best feature with D/E of 63.7%, well below the 70% target, but profitability metrics are weak across the board [5]. ROE of 1.6% is barely positive, profit margin of 8.5% reflects heavy depreciation charges typical of REITs, and the trailing P/E of 64x and forward P/E of 140x are extremely elevated even by REIT standards where FFO-based multiples are more relevant. Revenue growth of 3.6% YoY to $658M is modest, and the GAAP payout ratio of 279% is unsustainable on an earnings basis though management maintains AFFO coverage. The dividend has been inconsistent — cut from $0.72 to $0.48 during COVID, rebuilt to $0.68, cut again to $0.62 in 2023, then growing to $0.67 in 2025 — yielding only 2 consecutive years of growth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IRT plays a moderately infinite game anchored by CEO Schaeffer's 13-year tenure and consistent focus on non-gateway multifamily markets, but the company's inconsistent dividend policy and acquisition-driven growth strategy reveal finite-game instincts when tested by market volatility [2].</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IRT's purpose of providing quality apartment homes in affordable non-gateway markets connects to a genuine societal need, but it reads as a business strategy rather than an aspirational Just Cause that inspires sacrifice. The focus on affordability in secondary markets is intentional but lacks the transformative quality Sinek requires — no evidence this cause has driven costly strategic decisions or survived meaningful tests (1/3 points)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(3.5/5) describe leadership that 'genuinely cares' and 'values employee feedback,' and CEO Schaeffer's 13-year tenure provides leadership continuity. However, the lean staffing model (904 employees across 110+ communities) and the lack of specific retention data prevent a higher score. The culture appears adequate but not exceptional (1/2 points)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IRT acknowledging competitors' strengths or using competitive pressure for self-improvement. The company's investor communications focus on its own portfolio metrics and supply dynamics rather than learning from larger peers like AvalonBay or Essex Property Trust (0/1 point)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2022 STAR merger was a bold portfolio transformation that doubled IRT's scale, though it was an inorganic growth play rather than a fundamental business model reinvention. IRT has also pursued value-add renovation programs to reposition older assets, showing incremental adaptability. These moves are meaningful but not transformative — IRT remains a conventional multifamily REIT (1/2 points)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STAR merger during a challenging rate environment demonstrated willingness to make a major strategic bet for long-term scale. However, the inconsistent dividend policy — cutting, rebuilding, cutting again, then slowly rebuilding — suggests reactive rather than courageous capital allocation, with management prioritizing financial flexibility over stakeholder commitment (1/2 points)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Independence Realty Trust offers an affordable multifamily housing play in Sun Belt markets where population and employment growth outpace the national average, with management guiding for 'meaningfully better' 2026 fundamentals as new apartment supply deliveries peak and begin to recede [1]. The stock trades at a 4.42% dividend yield with a strong balance sheet (D/E of 63.7%) and has returned to same-store NOI growth of 2.4% in 2025 after navigating supply headwinds. Core FFO of $1.17 per share in 2025 comfortably covers the $0.68 annual dividend, and the company's non-gateway market focus provides a natural affordability advantage as gateway city rents continue to escalate.</w:t>
      </w:r>
    </w:p>
    <w:p>
      <w:pPr>
        <w:spacing w:after="120"/>
      </w:pPr>
      <w:r>
        <w:rPr>
          <w:rFonts w:ascii="Calibri" w:hAnsi="Calibri"/>
          <w:b w:val="0"/>
          <w:color w:val="3A4A28"/>
          <w:sz w:val="20"/>
        </w:rPr>
        <w:t>The bear case centers on IRT's weak GAAP profitability metrics — ROE of 1.6%, profit margin of 8.5%, and a trailing P/E of 64x — that reflect the capital-intensive nature of apartment ownership and heavy depreciation but nonetheless signal limited earnings power [5]. The forward P/E of 140x is extremely elevated, 2026 same-store NOI guidance of -0.6% to +2.2% suggests potential for flat or negative growth, and the dividend's turbulent history (two cuts since 2020) undermines income investor confidence. Director Gebert's steady monthly selling adds a negative signal, and the mid-cap apartment REIT space faces structural competition from single-family rental companies and institutional landlords entering secondary markets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Peak apartment supply deliveries receding through 2026-2027 across IRT's Sun Belt markets, enabling occupancy and rent growth re-acceleration after two years of supply-driven pressure</w:t>
      </w:r>
    </w:p>
    <w:p>
      <w:pPr>
        <w:spacing w:before="40" w:after="40"/>
        <w:ind w:left="283"/>
      </w:pPr>
      <w:r>
        <w:rPr>
          <w:rFonts w:ascii="Calibri" w:hAnsi="Calibri"/>
          <w:b/>
          <w:color w:val="4A6B25"/>
          <w:sz w:val="20"/>
        </w:rPr>
        <w:t xml:space="preserve">2. </w:t>
      </w:r>
      <w:r>
        <w:rPr>
          <w:rFonts w:ascii="Calibri" w:hAnsi="Calibri"/>
          <w:b w:val="0"/>
          <w:color w:val="3A4A28"/>
          <w:sz w:val="20"/>
        </w:rPr>
        <w:t>Value-add renovation pipeline driving $150-200+ per unit monthly rent premiums on renovated units, improving portfolio-level revenue per unit and NOI margins</w:t>
      </w:r>
    </w:p>
    <w:p>
      <w:pPr>
        <w:spacing w:before="40" w:after="40"/>
        <w:ind w:left="283"/>
      </w:pPr>
      <w:r>
        <w:rPr>
          <w:rFonts w:ascii="Calibri" w:hAnsi="Calibri"/>
          <w:b/>
          <w:color w:val="4A6B25"/>
          <w:sz w:val="20"/>
        </w:rPr>
        <w:t xml:space="preserve">3. </w:t>
      </w:r>
      <w:r>
        <w:rPr>
          <w:rFonts w:ascii="Calibri" w:hAnsi="Calibri"/>
          <w:b w:val="0"/>
          <w:color w:val="3A4A28"/>
          <w:sz w:val="20"/>
        </w:rPr>
        <w:t>Potential dividend increase to $0.72+ per share as AFFO coverage improves, which would signal recovery to pre-COVID payout levels and attract income-focused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new apartment supply deliveries in key Sun Belt markets like Dallas, Atlanta, and Nashville suppressing occupancy and limiting IRT's pricing power through 2026</w:t>
      </w:r>
    </w:p>
    <w:p>
      <w:pPr>
        <w:spacing w:before="40" w:after="40"/>
        <w:ind w:left="283"/>
      </w:pPr>
      <w:r>
        <w:rPr>
          <w:rFonts w:ascii="Calibri" w:hAnsi="Calibri"/>
          <w:b/>
          <w:color w:val="4A6B25"/>
          <w:sz w:val="20"/>
        </w:rPr>
        <w:t xml:space="preserve">2. </w:t>
      </w:r>
      <w:r>
        <w:rPr>
          <w:rFonts w:ascii="Calibri" w:hAnsi="Calibri"/>
          <w:b w:val="0"/>
          <w:color w:val="3A4A28"/>
          <w:sz w:val="20"/>
        </w:rPr>
        <w:t>Rising insurance and property tax costs in Sun Belt states compressing NOI margins faster than rent increases can offset, a trend that accelerated in 2024-2025</w:t>
      </w:r>
    </w:p>
    <w:p>
      <w:pPr>
        <w:spacing w:before="40" w:after="40"/>
        <w:ind w:left="283"/>
      </w:pPr>
      <w:r>
        <w:rPr>
          <w:rFonts w:ascii="Calibri" w:hAnsi="Calibri"/>
          <w:b/>
          <w:color w:val="4A6B25"/>
          <w:sz w:val="20"/>
        </w:rPr>
        <w:t xml:space="preserve">3. </w:t>
      </w:r>
      <w:r>
        <w:rPr>
          <w:rFonts w:ascii="Calibri" w:hAnsi="Calibri"/>
          <w:b w:val="0"/>
          <w:color w:val="3A4A28"/>
          <w:sz w:val="20"/>
        </w:rPr>
        <w:t>Interest rate volatility increasing IRT's refinancing costs on its debt stack, with the forward P/E of 140x suggesting the market already prices in significant rate sensitivity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Multifamily apartment ownership and management is structurally immune to AI disruption — people need physical housing, and AI cannot replace apartment buildings or in-person property maintenance. IRT's business model centers on owning physical real estate in Sun Belt markets where population growth drives demand, and the fundamental need for shelter is the most AI-proof demand driver in the economy [1]. Triple-net lease structures, local zoning regulations, and the physical nature of property management create insurmountable barriers to AI substitution. AI Opportunity (0/1): IRT does not generate revenue from AI products or services. AI may eventually enhance property management efficiency through predictive maintenance or dynamic pricing, but IRT has not quantified any AI-driven revenue or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Independence Realty Trust Q4 2025 Earnings Release and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Independence Realty Trust Glassdoor Reviews and Leadership Profiles,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Independence Realty Trust Corporate Profile — irtliving.com</w:t>
      </w:r>
    </w:p>
    <w:p>
      <w:pPr>
        <w:spacing w:before="20" w:after="20"/>
        <w:ind w:left="170"/>
      </w:pPr>
      <w:r>
        <w:rPr>
          <w:rFonts w:ascii="Calibri" w:hAnsi="Calibri"/>
          <w:b/>
          <w:color w:val="4A6B25"/>
          <w:sz w:val="15"/>
        </w:rPr>
        <w:t xml:space="preserve">4. </w:t>
      </w:r>
      <w:r>
        <w:rPr>
          <w:rFonts w:ascii="Calibri" w:hAnsi="Calibri"/>
          <w:b w:val="0"/>
          <w:color w:val="3A4A28"/>
          <w:sz w:val="17"/>
        </w:rPr>
        <w:t>Independence Realty Trust 2024 Sustainability Report — ESG Progress,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IRT key statistics and insider transactions,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