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IRWD</w:t>
      </w:r>
      <w:r>
        <w:rPr>
          <w:rFonts w:ascii="Calibri" w:hAnsi="Calibri"/>
          <w:b/>
          <w:color w:val="1A2010"/>
          <w:sz w:val="40"/>
        </w:rPr>
        <w:t xml:space="preserve">  Ironwood Pharmaceuticals, Inc.</w:t>
      </w:r>
    </w:p>
    <w:p>
      <w:pPr>
        <w:spacing w:after="120"/>
      </w:pPr>
      <w:r>
        <w:rPr>
          <w:rFonts w:ascii="Calibri" w:hAnsi="Calibri"/>
          <w:b/>
          <w:color w:val="6E8450"/>
          <w:sz w:val="18"/>
        </w:rPr>
        <w:t>GROWTH SLEEVE · 2026-03-31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Ironwood Pharmaceuticals is a GI-focused biotechnology company commercializing LINZESS (linaclotide) for IBS-C and chronic idiopathic constipation through a partnership with AbbVie. The company is also developing apraglutide for short bowel syndrome and IW-3300 for visceral pain conditions.</w:t>
      </w:r>
    </w:p>
    <w:p>
      <w:r>
        <w:rPr>
          <w:rFonts w:ascii="Calibri" w:hAnsi="Calibri"/>
          <w:b/>
          <w:color w:val="6E8450"/>
          <w:sz w:val="18"/>
        </w:rPr>
        <w:t>100 Employees · https://ironwoodpharma.com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LINZESS delivered 11% EUTRx demand growth in 2025 and the innovative 50% list price cut effective January 2026 eliminated IRA penalty rebates, driving 2026 revenue guidance of $450-475M vs. analyst estimates of $319M — a 40% upside surprise [1]. AI Deployment (0/2): No evidence of AI integration in operations or R&amp;D beyond standard pharma tools. Market Share (1/2): LINZESS is a leading branded GI therapy with FDA approval expanded to pediatric IBS-C patients aged 7+, establishing it as the first and only prescription drug for IBS-C in patients 7-17 [1]. Pipeline (2/2): Apraglutide received FDA alignment on confirmatory Phase 3 STARS-2 trial design for short bowel syndrome with site initiations expected Q2 2026; IW-3300 in development for visceral pain [1]. R&amp;D Intensity (1/1): Active clinical-stage pipeline despite small company size of ~100 employees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Ironwood's mission to revolutionize GI disease treatment is focused but narrowly scoped compared to broader healthcare missions. Community Impact (1/2): The LINZESS price cut of ~50% demonstrates genuine patient access commitment, and pediatric approval expands access to underserved populations [1]. Employee Retention (0/2): Glassdoor rating of 3.8/5 is decent but Comparably rates the executive team a 'D' in the bottom 20% of similar-sized companies; the company cut approximately half its workforce in 2025 following regulatory setbacks [2]. Insider Buying (1/2): CEO Tom McCourt maintains significant equity exposure with $7.58M total compensation (89% equity-based), aligning interests with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Ironwood's 2026 guidance of $450-475M revenue and &gt;$300M adjusted EBITDA represents a dramatic improvement from 2025's $339M TTM revenue [1]. Forward P/E of 2.4x is extraordinarily low, reflecting market skepticism about sustainability. The LINZESS pricing restructure should drive net revenue retention improvement. Profit margin of 8.1% is thin but improving with the new pricing structure. Cash position of $215M at year-end 2025 provides reasonable runway [1]. Revenue growth of -47.3% YoY reflects the transitional pricing period, but 2026 guidance implies 33-40% growth. D/E data unavailable. Liquidity floor: 4,704,710 avg vol x $3.51 = $16.5M — passes easily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Ironwood demonstrates mixed infinite game characteristics — the bold LINZESS pricing restructure shows long-term thinking, but workforce reductions of ~50% and regulatory setbacks with apraglutide suggest reactive rather than proactive strategic positioning. The company is exploring strategic alternatives with Goldman Sachs, which signals potential finite-game exit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Ironwood's focus on revolutionizing GI disease treatment is a genuine patient-centered cause, validated by the LINZESS pediatric approval expanding access to children with IBS-C and the 50% price cut improving affordability [1]. However, the 'strategic alternatives' exploration suggests the cause may be subordinate to shareholder value maximization.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~50% workforce reduction in 2025 severely undermined trust [2]. Glassdoor reviews describe management making 'poor decisions about the future' and the company outgrowing 'into all the cliches of Big Pharma.' Comparably rates the executive team a 'D' in the bottom 20%, and the CFO position has been held on an interim basis since December 2024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Ironwood's LINZESS competes with AbbVie's broader GI portfolio and generic entrants, while apraglutide faces competition from Takeda's teduglutide in short bowel syndrome [1]. The LINZESS pricing restructure shows awareness of competitive and regulatory dynamics (IRA), but the company's small size limits its ability to compete across multiple therapeutic areas.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LINZESS pricing restructure was a creative strategic pivot that turned an IRA regulatory threat into a revenue opportunity, with 2026 guidance 40% above consensus [1]. The pipeline diversification into apraglutide for SBS and IW-3300 for visceral pain shows willingness to evolve beyond a single product, though execution on the apraglutide Phase 3 remains uncertain after FDA's demand for a new trial.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50% LINZESS price cut was a bold, contrarian move that required conviction in the face of short-term revenue impact [1]. However, the CEO transition concerns — interim CFO since late 2024, strategic alternatives exploration — suggest leadership instability rather than courageous long-term direction setting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Ironwood Pharmaceuticals offers a compelling value proposition at forward P/E of 2.4x, driven by the transformative LINZESS pricing restructure that eliminated IRA penalty rebates and guided 2026 revenue of $450-475M — 40% above analyst expectations [1]. The strategic 50% list price cut effective January 2026 improved net revenue retention, with adjusted EBITDA guidance exceeding $300M. LINZESS demand remains strong at 11% EUTRx growth, and the pediatric IBS-C approval expands the addressable market [1]. At $3.51 per share with $215M cash, the stock appears deeply undervalued relative to the cash flow generation potential.</w:t>
      </w:r>
    </w:p>
    <w:p>
      <w:pPr>
        <w:spacing w:after="120"/>
      </w:pPr>
      <w:r>
        <w:rPr>
          <w:rFonts w:ascii="Calibri" w:hAnsi="Calibri"/>
          <w:b w:val="0"/>
          <w:color w:val="3A4A28"/>
          <w:sz w:val="20"/>
        </w:rPr>
        <w:t>The bear case centers on execution risk and pipeline uncertainty. The stock has crashed 62.6% in 2026 despite the guidance beat, reflecting deep market skepticism [2]. Apraglutide's Phase 3 STARS-2 trial faces significant execution risk after the FDA demanded a new confirmatory trial following mixed Phase 3 STARS results due to dose preparation issues [3]. The ~50% workforce reduction signals financial strain, and the exploration of strategic alternatives with Goldman Sachs raises questions about management's commitment to independence. LINZESS faces eventual generic competition as patents expire, and the pricing restructure's benefits may be temporary. With only ~100 employees remaining, operational capacity to execute on a complex pipeline is questionable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LINZESS 2026 revenue realization of $450-475M guidance driven by post-IRA pricing restructure, with Q1 2026 results expected to validate the new pricing economics [1]</w:t>
      </w:r>
    </w:p>
    <w:p>
      <w:pPr>
        <w:spacing w:before="40" w:after="40"/>
        <w:ind w:left="283"/>
      </w:pPr>
      <w:r>
        <w:rPr>
          <w:rFonts w:ascii="Calibri" w:hAnsi="Calibri"/>
          <w:b/>
          <w:color w:val="4A6B25"/>
          <w:sz w:val="20"/>
        </w:rPr>
        <w:t xml:space="preserve">2. </w:t>
      </w:r>
      <w:r>
        <w:rPr>
          <w:rFonts w:ascii="Calibri" w:hAnsi="Calibri"/>
          <w:b w:val="0"/>
          <w:color w:val="3A4A28"/>
          <w:sz w:val="20"/>
        </w:rPr>
        <w:t>Apraglutide STARS-2 Phase 3 trial site initiations in Q2 2026 for short bowel syndrome, with FDA Breakthrough Therapy potential for the pipeline asset [1]</w:t>
      </w:r>
    </w:p>
    <w:p>
      <w:pPr>
        <w:spacing w:before="40" w:after="40"/>
        <w:ind w:left="283"/>
      </w:pPr>
      <w:r>
        <w:rPr>
          <w:rFonts w:ascii="Calibri" w:hAnsi="Calibri"/>
          <w:b/>
          <w:color w:val="4A6B25"/>
          <w:sz w:val="20"/>
        </w:rPr>
        <w:t xml:space="preserve">3. </w:t>
      </w:r>
      <w:r>
        <w:rPr>
          <w:rFonts w:ascii="Calibri" w:hAnsi="Calibri"/>
          <w:b w:val="0"/>
          <w:color w:val="3A4A28"/>
          <w:sz w:val="20"/>
        </w:rPr>
        <w:t>Strategic alternatives review with Goldman Sachs could unlock shareholder value through M&amp;A or partnership at a premium to current depressed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down 62.6% in 2026 despite guidance beat — market may be pricing in LINZESS patent cliff risk and apraglutide trial failure probability [2]</w:t>
      </w:r>
    </w:p>
    <w:p>
      <w:pPr>
        <w:spacing w:before="40" w:after="40"/>
        <w:ind w:left="283"/>
      </w:pPr>
      <w:r>
        <w:rPr>
          <w:rFonts w:ascii="Calibri" w:hAnsi="Calibri"/>
          <w:b/>
          <w:color w:val="4A6B25"/>
          <w:sz w:val="20"/>
        </w:rPr>
        <w:t xml:space="preserve">2. </w:t>
      </w:r>
      <w:r>
        <w:rPr>
          <w:rFonts w:ascii="Calibri" w:hAnsi="Calibri"/>
          <w:b w:val="0"/>
          <w:color w:val="3A4A28"/>
          <w:sz w:val="20"/>
        </w:rPr>
        <w:t>~50% workforce reduction and interim CFO since December 2024 raise operational execution concerns for a company running multiple clinical programs [2]</w:t>
      </w:r>
    </w:p>
    <w:p>
      <w:pPr>
        <w:spacing w:before="40" w:after="40"/>
        <w:ind w:left="283"/>
      </w:pPr>
      <w:r>
        <w:rPr>
          <w:rFonts w:ascii="Calibri" w:hAnsi="Calibri"/>
          <w:b/>
          <w:color w:val="4A6B25"/>
          <w:sz w:val="20"/>
        </w:rPr>
        <w:t xml:space="preserve">3. </w:t>
      </w:r>
      <w:r>
        <w:rPr>
          <w:rFonts w:ascii="Calibri" w:hAnsi="Calibri"/>
          <w:b w:val="0"/>
          <w:color w:val="3A4A28"/>
          <w:sz w:val="20"/>
        </w:rPr>
        <w:t>Nasdaq non-compliance notification for late 10-K filing adds regulatory overhang and potential delisting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Ironwood's core LINZESS franchise is a branded pharmaceutical with patent protection and physician prescribing relationships, providing moderate insulation from AI disruption. However, the company has no public evidence of deploying AI in R&amp;D, manufacturing, or commercial operations [2]. AI could accelerate competitor drug development in the GI space, particularly from larger pharma companies with greater AI capabilities. The apraglutide Phase 3 trial could benefit from AI-enhanced trial design and patient recruitment, but Ironwood has not disclosed such initiatives. AI Opportunity (1/1): AI-driven drug discovery and clinical trial optimization represent an untapped opportunity for a company with deep GI expertise and clinical datasets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Ironwood Pharmaceuticals Q4/FY2025 Earnings Release — $339M TTM revenue, 11% LINZESS demand growth, 2026 guidance of $450-475M revenue, February 25, 2026</w:t>
      </w:r>
    </w:p>
    <w:p>
      <w:pPr>
        <w:spacing w:before="20" w:after="20"/>
        <w:ind w:left="170"/>
      </w:pPr>
      <w:r>
        <w:rPr>
          <w:rFonts w:ascii="Calibri" w:hAnsi="Calibri"/>
          <w:b/>
          <w:color w:val="4A6B25"/>
          <w:sz w:val="15"/>
        </w:rPr>
        <w:t xml:space="preserve">2. </w:t>
      </w:r>
      <w:r>
        <w:rPr>
          <w:rFonts w:ascii="Calibri" w:hAnsi="Calibri"/>
          <w:b w:val="0"/>
          <w:color w:val="3A4A28"/>
          <w:sz w:val="17"/>
        </w:rPr>
        <w:t>Glassdoor, Comparably, ad-hoc-news.de — Ironwood employee reviews (3.8/5), executive team rated 'D', stock crash 62.6% in 2026,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Ironwood Pharmaceuticals Investor Relations — FY2026 guidance announcement, LINZESS pricing restructure, apraglutide STARS-2 trial design, January-March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IRWD,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