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IR</w:t>
      </w:r>
      <w:r>
        <w:rPr>
          <w:rFonts w:ascii="Calibri" w:hAnsi="Calibri"/>
          <w:b/>
          <w:color w:val="1A2010"/>
          <w:sz w:val="40"/>
        </w:rPr>
        <w:t xml:space="preserve">  Ingersoll Rand Inc.</w:t>
      </w:r>
    </w:p>
    <w:p>
      <w:pPr>
        <w:spacing w:after="120"/>
      </w:pPr>
      <w:r>
        <w:rPr>
          <w:rFonts w:ascii="Calibri" w:hAnsi="Calibri"/>
          <w:b/>
          <w:color w:val="6E8450"/>
          <w:sz w:val="18"/>
        </w:rPr>
        <w:t>GROWTH SLEEVE · 2026-04-07 · Inspire: 68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Ingersoll Rand Inc. is a diversified industrial company providing mission-critical flow creation and industrial solutions. Products include compressors, blowers, pumps, vacuum systems, and power tools across diverse end markets including aerospace &amp; defense, food &amp; beverage, water management, and life sciences. The company was formed from the 2020 merger of Gardner Denver and Ingersoll-Rand's Industrial segment.</w:t>
      </w:r>
    </w:p>
    <w:p>
      <w:r>
        <w:rPr>
          <w:rFonts w:ascii="Calibri" w:hAnsi="Calibri"/>
          <w:b/>
          <w:color w:val="6E8450"/>
          <w:sz w:val="18"/>
        </w:rPr>
        <w:t>21,000 Employees · https://www.irco.com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Ingersoll Rand grew revenue 6% to $7.65B in FY2025, with Q4 revenue up 10% YoY to $2.09B beating estimates [1]. The company closed 16 acquisitions in 2025 representing $525M in investment and ~$275M in annualized inorganic revenue, demonstrating a disciplined M&amp;A-driven growth engine [1]. The 2020 merger of Gardner Denver and Ingersoll-Rand's Industrial segment was a transformative business combination that created a scaled industrial platform. AI Deployment (0/2): No evidence of AI-powered products or AI-driven operational efficiencies reported. The company has not disclosed AI deployment with measurable results. Market Share (2/2): Ingersoll Rand is a global leader in mission-critical compressors, pumps, and flow creation equipment, named to the DJSI World and North America Indices for the second consecutive year and ranked in the top 0.5% of the machinery industry by Morningstar Sustainalytics [3]. Pipeline (1/2): 2026 guidance projects 2.5-4.5% total revenue growth with acquisitions contributing 400-500 bps and adjusted EPS of $3.45-$3.57 (up 3-7%) [1]. The pipeline is visible but growth is modest and heavily acquisition-dependent. R&amp;D Intensity (1/1): Above-average R&amp;D for industrial machinery, investing in energy-efficient compressor technology and sustainable product design.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Ingersoll Rand has deeply embedded sustainability into its corporate strategy since 2013, with specific and measured commitments: 37.1% GHG reduction, 45.4% water consumption reduction, 15.6% energy efficiency improvement, and 32.8% non-hazardous waste reduction [3]. This is specific, thoughtful, and validated by execution — the sustainability mission differentiates from peers and drives product innovation in energy-efficient equipment. Community Impact (1/2): Environmental achievements are documented and meaningful. The company's products directly address global sustainability challenges (energy-efficient compression, water management). ESG Steering Committee and award-winning disclosure demonstrate institutional commitment [3]. Employee Retention (1/2): Glassdoor rating of 3.6/5 with 69% recommending to a friend is average for industrials [2]. Leadership culture has been praised by IndustryWeek ('Why is Ingersoll Rand humming?'), but concerns about decision centralization ('every decision must go to the CEO') and diversity gaps (1 of 15 direct reports to CEO are women) temper the score [2]. Insider Buying (0/2): No evidence of meaningful net insider buying found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calculated mechanically from financial metrics. Liquidity floor passed: 3,861,185 avg vol × $78.70 = $303.9M [4]. D/E of 50.7% scores 1.0 — excellent balance sheet strength for an industrial company [4]. ROE of 5.77% scores 0.385 (2× weight) — well below the 15% target, dragged down by goodwill from M&amp;A activity [4]. Revenue growth of 10.1% YoY scores 1.0 [1]. Revenue growth 5yr CAGR of ~9.3% (estimated $4.9B to $7.65B since 2020 merger) scores 0.953 (2× weight). Forward P/E of 20.2 scores 0.995 — on the edge of the target but reasonable for a quality industrial [4]. Profit margin of 7.6% scores 0.380 — the weakest metric, reflecting the company's acquisition-heavy growth strategy with integration costs [4]. PEG ratio of 0.72 (trailing) scores 1.0 (2× weight) — indicating strong growth relative to valuation. Weighted sum: 8.051 / max 10 × 10 =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Ingersoll Rand demonstrates meaningful infinite game characteristics under a leadership team that has built a consistent acquisition-driven growth strategy since the 2020 Gardner Denver merger. The deeply embedded sustainability mission (37% GHG reduction since 2013), long-term capability building through M&amp;A, and willingness to invest in the franchise differentiate Ingersoll Rand from peers. However, concerns about CEO decision centralization and modest organic growth (flat to 2% for 2026) suggest some finite game tendencies.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 pts → 7/10 display). Ingersoll Rand's sustainability-integrated industrial mission — reducing energy consumption, GHG emissions, and water usage while providing mission-critical equipment — is genuine, specific, and validated by a decade of measurable results [3]. The DJSI World Index inclusion for consecutive years and Sustainalytics top 0.5% ranking demonstrate that the cause is lived, not just stated. However, it has not been tested through the kind of existential crisis that would prove it's truly the competitive advantage.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 pt → 6/10 display). Glassdoor rating of 3.6/5 with 69% recommending the company is respectable for industrials [2]. IndustryWeek praised the company's execution culture. However, reports that 'every purchase and major decision must be brought to the CEO' suggest centralized decision-making that may limit empowerment [2]. Diversity concerns (1 of 15 CEO direct reports are women) and a 4% decline in Glassdoor ratings over the past year indicate room for improvement.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competitive mindset (1 pt → 10/10 display). Ingersoll Rand's acquisition strategy explicitly involves identifying competitors' strengths and acquiring capabilities to fill gaps — 16 acquisitions in 2025 alone [1]. This 'improve through acquisition' approach reflects a company that studies the competitive landscape to identify where rivals are stronger and incorporates those capabilities rather than trying to destroy competitors organically.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 pt → 6/10 display). The 2020 merger of Gardner Denver and Ingersoll-Rand's Industrial segment fundamentally transformed the company from a mid-cap compressor maker into a diversified $7.65B industrial platform [1]. The subsequent M&amp;A program (16 deals in 2025) continues to evolve the business model. However, these are adjacency expansions within industrial equipment, not transformative reinventions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 pt → 6/10 display). Deploying $525M across 16 acquisitions in 2025 while maintaining balance sheet discipline (50.7% D/E) demonstrates willingness to invest in long-term capability [1]. The decade-long commitment to sustainability metrics (37% GHG reduction, 45% water reduction since 2013) shows consistency through market cycles [3]. However, organic growth guidance of flat to 2% for 2026 suggests the company relies heavily on acquisitions rather than organic innovation to drive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Ingersoll Rand is a premier industrial compounder delivering consistent growth through disciplined M&amp;A and operational execution. FY2025 revenue of $7.65B (+6%) with Q4 accelerating to +10% demonstrates the growth engine is working [1]. The company closed 16 acquisitions in 2025 ($525M invested, ~$275M annualized revenue), and guides to $3.45-$3.57 adjusted EPS for 2026 (up 3-7%) [1]. The balance sheet is strong at 50.7% D/E, PEG of 0.72 indicates the stock is cheap relative to growth, and the company's products are mission-critical in growing end markets (data centers, water infrastructure, life sciences). Ingersoll Rand's decade-long sustainability track record (37% GHG reduction, 45% water reduction) and DJSI World Index inclusion position it favorably for ESG-focused institutional capital [3]. The Inspire score of 68 (ALIGNED) reflects a clean profile with 18 positive attributions and zero negatives.</w:t>
      </w:r>
    </w:p>
    <w:p>
      <w:pPr>
        <w:spacing w:after="120"/>
      </w:pPr>
      <w:r>
        <w:rPr>
          <w:rFonts w:ascii="Calibri" w:hAnsi="Calibri"/>
          <w:b w:val="0"/>
          <w:color w:val="3A4A28"/>
          <w:sz w:val="20"/>
        </w:rPr>
        <w:t>The bear case focuses on acquisition dependence and margin compression. Organic growth guidance of flat to 2% for 2026 is anemic for a stock trading at 54x trailing P/E and 20x forward P/E — the growth story is almost entirely M&amp;A-driven [1][4]. Profit margin of 7.6% and ROE of 5.77% are weak for a company of this scale, suggesting that serial acquisitions are creating goodwill bloat and integration costs that depress returns on capital [4]. The 16-deal pace of M&amp;A raises execution risk — integrating $275M in inorganic revenue annually requires significant management bandwidth. CEO decision centralization ('every decision goes to the CEO') could become a bottleneck as the organization scales [2]. At $31B market cap, the stock needs continued M&amp;A execution and margin expansion to justify the premium valuation. A slowdown in industrial capex or difficulty finding accretive acquisition targets at reasonable prices could stall the growth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M&amp;A execution in 2026 — management expects acquisitions to contribute 400-500 bps of revenue growth, and the company's track record of 16 deals in 2025 suggests a deep pipeline [1]</w:t>
      </w:r>
    </w:p>
    <w:p>
      <w:pPr>
        <w:spacing w:before="40" w:after="40"/>
        <w:ind w:left="283"/>
      </w:pPr>
      <w:r>
        <w:rPr>
          <w:rFonts w:ascii="Calibri" w:hAnsi="Calibri"/>
          <w:b/>
          <w:color w:val="4A6B25"/>
          <w:sz w:val="20"/>
        </w:rPr>
        <w:t xml:space="preserve">2. </w:t>
      </w:r>
      <w:r>
        <w:rPr>
          <w:rFonts w:ascii="Calibri" w:hAnsi="Calibri"/>
          <w:b w:val="0"/>
          <w:color w:val="3A4A28"/>
          <w:sz w:val="20"/>
        </w:rPr>
        <w:t>Margin expansion as recent acquisitions integrate and synergies realize, potentially lifting profit margin above the current 7.6% toward the industrial peer average of 12-15% [4]</w:t>
      </w:r>
    </w:p>
    <w:p>
      <w:pPr>
        <w:spacing w:before="40" w:after="40"/>
        <w:ind w:left="283"/>
      </w:pPr>
      <w:r>
        <w:rPr>
          <w:rFonts w:ascii="Calibri" w:hAnsi="Calibri"/>
          <w:b/>
          <w:color w:val="4A6B25"/>
          <w:sz w:val="20"/>
        </w:rPr>
        <w:t xml:space="preserve">3. </w:t>
      </w:r>
      <w:r>
        <w:rPr>
          <w:rFonts w:ascii="Calibri" w:hAnsi="Calibri"/>
          <w:b w:val="0"/>
          <w:color w:val="3A4A28"/>
          <w:sz w:val="20"/>
        </w:rPr>
        <w:t>Data center and AI infrastructure buildout driving demand for Ingersoll Rand's compressors, cooling systems, and fluid handling equipment — a multi-year secular tailwind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Acquisition-dependent growth — organic revenue guidance of flat to 2% means the growth narrative collapses if the M&amp;A pipeline dries up or target multiples become uneconomic [1]</w:t>
      </w:r>
    </w:p>
    <w:p>
      <w:pPr>
        <w:spacing w:before="40" w:after="40"/>
        <w:ind w:left="283"/>
      </w:pPr>
      <w:r>
        <w:rPr>
          <w:rFonts w:ascii="Calibri" w:hAnsi="Calibri"/>
          <w:b/>
          <w:color w:val="4A6B25"/>
          <w:sz w:val="20"/>
        </w:rPr>
        <w:t xml:space="preserve">2. </w:t>
      </w:r>
      <w:r>
        <w:rPr>
          <w:rFonts w:ascii="Calibri" w:hAnsi="Calibri"/>
          <w:b w:val="0"/>
          <w:color w:val="3A4A28"/>
          <w:sz w:val="20"/>
        </w:rPr>
        <w:t>Margin compression risk — 7.6% profit margin and 5.77% ROE are below industrial peers, and rapid M&amp;A pace may continue to dilute returns on capital through goodwill accumulation [4]</w:t>
      </w:r>
    </w:p>
    <w:p>
      <w:pPr>
        <w:spacing w:before="40" w:after="40"/>
        <w:ind w:left="283"/>
      </w:pPr>
      <w:r>
        <w:rPr>
          <w:rFonts w:ascii="Calibri" w:hAnsi="Calibri"/>
          <w:b/>
          <w:color w:val="4A6B25"/>
          <w:sz w:val="20"/>
        </w:rPr>
        <w:t xml:space="preserve">3. </w:t>
      </w:r>
      <w:r>
        <w:rPr>
          <w:rFonts w:ascii="Calibri" w:hAnsi="Calibri"/>
          <w:b w:val="0"/>
          <w:color w:val="3A4A28"/>
          <w:sz w:val="20"/>
        </w:rPr>
        <w:t>Valuation risk — at 54x trailing P/E and 20x forward P/E, the stock is priced for execution perfection; any disappointment in acquisition integration or organic growth could trigger meaningful multiple compression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Ingersoll Rand's core business — manufacturing physical compressors, pumps, blowers, and industrial equipment — is structurally immune to AI disruption [1]. These are mission-critical, engineered-to-order products that require metallurgy, precision manufacturing, installation, and field service. AI cannot replace a compressor in a factory or a pump in a water treatment plant. The company's products support AI infrastructure buildout (data centers need cooling, compressed air, and fluid handling), making Ingersoll Rand an indirect beneficiary of AI-driven capex [1]. The regulatory environment (pressure vessel codes, safety certifications) and installed-base service relationships create additional moats. AI Opportunity (0/1): No quantifiable AI revenue. While Ingersoll Rand could deploy AI in predictive maintenance and IoT-connected equipment monitoring, the company has not disclosed any AI-driven revenue or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Ingersoll Rand Q4/FY2025 Earnings Release — $7.65B revenue (+6%), Q4 $2.09B (+10%), 16 acquisitions, 2026 guidance $3.45-$3.57 EPS,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 IndustryWeek — Ingersoll Rand culture reviews: 3.6/5 rating, CEO decision centralization, diversity concerns,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ESG Today / Ingersoll Rand Corporate — DJSI World Index, Sustainalytics top 0.5%, sustainability metrics since 2013: -37% GHG, -45% water</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IR financial data: price $78.70, trailing P/E 54.28, forward P/E 20.21, D/E 50.7%, ROE 5.77%, PEG 0.72,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