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ITUB</w:t>
      </w:r>
      <w:r>
        <w:rPr>
          <w:rFonts w:ascii="Calibri" w:hAnsi="Calibri"/>
          <w:b/>
          <w:color w:val="1A2010"/>
          <w:sz w:val="40"/>
        </w:rPr>
        <w:t xml:space="preserve">  Itau Unibanco Holding S.A.</w:t>
      </w:r>
    </w:p>
    <w:p>
      <w:pPr>
        <w:spacing w:after="120"/>
      </w:pPr>
      <w:r>
        <w:rPr>
          <w:rFonts w:ascii="Calibri" w:hAnsi="Calibri"/>
          <w:b/>
          <w:color w:val="6E8450"/>
          <w:sz w:val="18"/>
        </w:rPr>
        <w:t>GROWTH SLEEVE · 2026-03-23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Brazil</w:t>
      </w:r>
    </w:p>
    <w:p>
      <w:pPr>
        <w:spacing w:after="80"/>
      </w:pPr>
      <w:r>
        <w:rPr>
          <w:rFonts w:ascii="Calibri" w:hAnsi="Calibri"/>
          <w:b w:val="0"/>
          <w:color w:val="3A4A28"/>
          <w:sz w:val="20"/>
        </w:rPr>
        <w:t>Itau Unibanco is Latin America's largest bank by market capitalization with R$1.49 trillion credit book, 24.4% ROE, and operations across Brazil and Latin America. The bank has repositioned itself as a technology-driven institution with over 1,300 AI models deployed and a bold commitment to go fully digital by 2028.</w:t>
      </w:r>
    </w:p>
    <w:p>
      <w:r>
        <w:rPr>
          <w:rFonts w:ascii="Calibri" w:hAnsi="Calibri"/>
          <w:b/>
          <w:color w:val="6E8450"/>
          <w:sz w:val="18"/>
        </w:rPr>
        <w:t>97,000 Employees · https://www.itau.com.br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2025 recurring managerial profit of R$46.8B grew 13.1% YoY with best-ever efficiency ratio of 38.9% [1]. Over 1,300 AI models deployed in production. AI Deployment (2/2): Launched generative AI investment advisor via chat, ChatGPT-powered internal tools, and AI-driven fraud detection through MIT CSAIL partnership [2]. The SuperApp generates proprietary data training 1,300+ models. Market Share (2/2): Latin America's largest bank with dominant position in Brazilian retail, corporate, and investment banking. Pipeline (1/2): R$500M venture fund targeting AI, payments, cybersecurity; go-digital-by-2028 commitment via AWS cloud [2]. R&amp;D Intensity (1/1): Massive technology investment with AI as a listed strategic priority.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Milton Maluhy Filho's vision of Itau as 'a technology company with a banking license' reframes a 100-year institution for the digital age [2]. Community Impact (1/2): Significant employer (~97,000), venture fund supporting fintech ecosystem, and 5% of CEO variable pay tied to ESG goals. Employee Retention (1/2): Long tenured workforce, but controversial remote worker surveillance program sparked internal backlash [3]. Insider Buying (2/2): Strong insider alignment with management team maintaining significant equity positions and ROE-focused compensation.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 of 10.2x and forward P/E of 8.2x represent value for a bank delivering 24.4% ROE and 13.1% profit growth [1][3]. Profit margin of 32.3% is excellent for banking. Revenue growth of 11% YoY. The 2026 guidance targets 5.5-9.5% credit portfolio growth and 5-9% NII growth. Dividend yield of approximately 1.3% with 76% payout ratio. Beta of 0.62 provides defensive characteristics. JPMorgan raised price target to $7.77 with Overweight rating. Liquidity floor: 26.1M avg volume x $7.84 = $205M daily turnover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Itau Unibanco demonstrates infinite game thinking through its 100+ year institutional heritage, ambitious digital transformation vision (fully digital by 2028), and willingness to invest R$500M in venture capital for long-term innovation. However, the remote worker surveillance controversy and government-related ESG issues reveal finite control instincts.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Maluhy Filho's vision of transforming Itau into a technology company with a banking license represents a genuine strategic purpose. The bank's mission to improve the financial experience through AI and digital tools is specific and forward-looking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the cultural transformation toward data scientist/domain expert collaboration shows team-building [2], but the remote worker surveillance program that tracked employee performance and triggered layoffs undermines trust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Itau competes with Nubank, Banco do Brasil, and Santander Brasil. The R$500M venture fund and MIT CSAIL partnership suggest learning from fintech rivals rather than dismissing them. CEO Maluhy's acknowledgment of needing to 'stay alert with everything that's going on' shows competitive humility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commitment to go fully digital by 2028 via AWS cloud, the venture fund launch, and the deliberate reframing as a technology company demonstrate substantial existential flexibility for a 100-year-old institution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Tying 5% of CEO variable pay to ESG goals, investing R$500M in a venture fund, and committing to a full digital transformation by 2028 show forward-thinking courage. However, the ESG gaps identified in Amazon financing policies suggest selective rather than comprehensive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Itau Unibanco trades at 8.2x forward earnings with 24.4% ROE, delivering R$46.8B in 2025 recurring profit with best-ever 38.9% efficiency ratio [1]. The 2026 guidance targets mid-to-high single-digit growth across key metrics while maintaining disciplined cost and risk management. Over 1,300 AI models deployed and a go-digital-by-2028 commitment position Itau ahead of Latin American banking peers [2]. JPMorgan's $7.77 Overweight target implies meaningful upside. The 0.62 beta provides portfolio defensive characteristics.</w:t>
      </w:r>
    </w:p>
    <w:p>
      <w:pPr>
        <w:spacing w:after="120"/>
      </w:pPr>
      <w:r>
        <w:rPr>
          <w:rFonts w:ascii="Calibri" w:hAnsi="Calibri"/>
          <w:b w:val="0"/>
          <w:color w:val="3A4A28"/>
          <w:sz w:val="20"/>
        </w:rPr>
        <w:t>The bear case includes Brazil macroeconomic risk — rising interest rates and currency volatility directly impact NII and credit quality. ESG scrutiny over Amazon deforestation financing (Itau scored just 2.8/10 on forest-risk sector policies) and the remote worker surveillance controversy create governance overhang [3]. The Q4 2025 EPS miss ($0.17 vs $0.20 estimate) raised concerns about near-term execution. Fintech competition from Nubank threatens fee income on retail banking. Currency risk for USD-based investors remains significant with BRL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credit portfolio growth of 5.5-9.5% with NII growth of 5-9%, demonstrating consistent earnings expansion trajectory</w:t>
      </w:r>
    </w:p>
    <w:p>
      <w:pPr>
        <w:spacing w:before="40" w:after="40"/>
        <w:ind w:left="283"/>
      </w:pPr>
      <w:r>
        <w:rPr>
          <w:rFonts w:ascii="Calibri" w:hAnsi="Calibri"/>
          <w:b/>
          <w:color w:val="4A6B25"/>
          <w:sz w:val="20"/>
        </w:rPr>
        <w:t xml:space="preserve">2. </w:t>
      </w:r>
      <w:r>
        <w:rPr>
          <w:rFonts w:ascii="Calibri" w:hAnsi="Calibri"/>
          <w:b w:val="0"/>
          <w:color w:val="3A4A28"/>
          <w:sz w:val="20"/>
        </w:rPr>
        <w:t>Digital transformation milestones toward 2028 fully digital goal, with AI model deployment expanding to customer-facing applications</w:t>
      </w:r>
    </w:p>
    <w:p>
      <w:pPr>
        <w:spacing w:before="40" w:after="40"/>
        <w:ind w:left="283"/>
      </w:pPr>
      <w:r>
        <w:rPr>
          <w:rFonts w:ascii="Calibri" w:hAnsi="Calibri"/>
          <w:b/>
          <w:color w:val="4A6B25"/>
          <w:sz w:val="20"/>
        </w:rPr>
        <w:t xml:space="preserve">3. </w:t>
      </w:r>
      <w:r>
        <w:rPr>
          <w:rFonts w:ascii="Calibri" w:hAnsi="Calibri"/>
          <w:b w:val="0"/>
          <w:color w:val="3A4A28"/>
          <w:sz w:val="20"/>
        </w:rPr>
        <w:t>Potential Brazilian monetary easing cycle improving NII spreads and reducing credit costs below the R$38.5-43.5B guided range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macroeconomic deterioration — high interest rates, BRL depreciation, or recession would compress NII and increase credit losses</w:t>
      </w:r>
    </w:p>
    <w:p>
      <w:pPr>
        <w:spacing w:before="40" w:after="40"/>
        <w:ind w:left="283"/>
      </w:pPr>
      <w:r>
        <w:rPr>
          <w:rFonts w:ascii="Calibri" w:hAnsi="Calibri"/>
          <w:b/>
          <w:color w:val="4A6B25"/>
          <w:sz w:val="20"/>
        </w:rPr>
        <w:t xml:space="preserve">2. </w:t>
      </w:r>
      <w:r>
        <w:rPr>
          <w:rFonts w:ascii="Calibri" w:hAnsi="Calibri"/>
          <w:b w:val="0"/>
          <w:color w:val="3A4A28"/>
          <w:sz w:val="20"/>
        </w:rPr>
        <w:t>ESG controversy around Amazon deforestation financing — scored 2.8/10 on forest-risk policies and 0/3 on Indigenous Peoples' rights [3]</w:t>
      </w:r>
    </w:p>
    <w:p>
      <w:pPr>
        <w:spacing w:before="40" w:after="40"/>
        <w:ind w:left="283"/>
      </w:pPr>
      <w:r>
        <w:rPr>
          <w:rFonts w:ascii="Calibri" w:hAnsi="Calibri"/>
          <w:b/>
          <w:color w:val="4A6B25"/>
          <w:sz w:val="20"/>
        </w:rPr>
        <w:t xml:space="preserve">3. </w:t>
      </w:r>
      <w:r>
        <w:rPr>
          <w:rFonts w:ascii="Calibri" w:hAnsi="Calibri"/>
          <w:b w:val="0"/>
          <w:color w:val="3A4A28"/>
          <w:sz w:val="20"/>
        </w:rPr>
        <w:t>Fintech disruption from Nubank and digital-native competitors eroding fee income and market share in retail banking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requires regulatory compliance, relationship management, and fiduciary trust that AI cannot fully replicate. Itau's massive scale and proprietary customer data create compounding advantages through AI model training [2]. However, fintech disruptors like Nubank leverage AI to challenge traditional banking fee structures. AI Opportunity (1/1): 1,300+ AI models in production, generative AI investment advisor, MIT CSAIL research partnership, and R$500M venture fund targeting AI make Itau a leading AI adopter in Latin American banking.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Itau Unibanco Q4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Itau Unibanco AI strategy and digital transformation — Klover.ai analysis, MIT CSAIL partnership, 2024-2025</w:t>
      </w:r>
    </w:p>
    <w:p>
      <w:pPr>
        <w:spacing w:before="20" w:after="20"/>
        <w:ind w:left="170"/>
      </w:pPr>
      <w:r>
        <w:rPr>
          <w:rFonts w:ascii="Calibri" w:hAnsi="Calibri"/>
          <w:b/>
          <w:color w:val="4A6B25"/>
          <w:sz w:val="15"/>
        </w:rPr>
        <w:t xml:space="preserve">3. </w:t>
      </w:r>
      <w:r>
        <w:rPr>
          <w:rFonts w:ascii="Calibri" w:hAnsi="Calibri"/>
          <w:b w:val="0"/>
          <w:color w:val="3A4A28"/>
          <w:sz w:val="17"/>
        </w:rPr>
        <w:t>BankTrack, Stand.earth, and Bloomberg — Itau Unibanco ESG controversies,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ITUB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