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IVF</w:t>
      </w:r>
      <w:r>
        <w:rPr>
          <w:rFonts w:ascii="Calibri" w:hAnsi="Calibri"/>
          <w:b/>
          <w:color w:val="1A2010"/>
          <w:sz w:val="40"/>
        </w:rPr>
        <w:t xml:space="preserve">  INVO Fertility, Inc.</w:t>
      </w:r>
    </w:p>
    <w:p>
      <w:pPr>
        <w:spacing w:after="120"/>
      </w:pPr>
      <w:r>
        <w:rPr>
          <w:rFonts w:ascii="Calibri" w:hAnsi="Calibri"/>
          <w:b/>
          <w:color w:val="6E8450"/>
          <w:sz w:val="18"/>
        </w:rPr>
        <w:t>GROWTH SLEEVE · 2026-03-28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INVO Fertility, Inc. is a healthcare fertility company focused on the acquisition and operation of fertility clinics and the commercialization of INVOcell, a proprietary medical device that enables fertilization and early embryo development within the woman's body (in vivo). The company operates three clinics and is acquiring a fourth in Indianapolis, with a combined pro forma annualized revenue run rate of approximately $9 million.</w:t>
      </w:r>
    </w:p>
    <w:p>
      <w:r>
        <w:rPr>
          <w:rFonts w:ascii="Calibri" w:hAnsi="Calibri"/>
          <w:b/>
          <w:color w:val="6E8450"/>
          <w:sz w:val="18"/>
        </w:rPr>
        <w:t>https://invofertility.com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INVO Fertility generated $6.5M in TTM revenue (up 22.6% YoY) but posted a $9.1M net loss, and the stock has declined 98% over the past 12 months [1]. The INVOcell device represents a genuine medical innovation but commercial traction remains limited to a handful of clinics. AI Deployment (1/2): INVO partnered with Heidi Health in October 2025 to integrate AI-powered clinical documentation at Wisconsin Fertility Institute, reducing physician burnout and administrative burden [2]. This is a deployed AI tool with practical impact, though early-stage. Market Share (0/2): INVO Fertility is a micro-cap ($18.7M market cap) with negligible market share in the $30B+ global fertility services market. Three operational clinics provide minimal scale. Pipeline (1/2): Acquisition of Family Beginnings in Indianapolis ($1.2M revenue, $0.2M net income) is closing, bringing the fourth clinic online with a $9M pro forma revenue run rate [1]. CEO outlines acquisition pipeline and organic growth initiatives for 2026. R&amp;D Intensity (1/1): INVOcell is a proprietary, FDA-cleared medical device representing genuine R&amp;D differentiation in fertility technology, offering a lower-cost alternative to traditional IVF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INVO's stated mission centers on 'making advanced fertility care effective, accessible, and empowering for all, through a patient-centered approach powered by innovation, compassion and an exceptional team' [2]. This is clear and connects fertility access to a broader social good, but hasn't been validated by decades of execution. Community Impact (1/2): INVOcell's lower-cost fertility treatment expands access to patients who cannot afford traditional IVF ($15-20K+ per cycle), addressing a genuine healthcare accessibility gap [2]. Employee Retention (0/2): Recent leadership restructuring in December 2025 (new CFO, role changes) and the called-off NAYA merger suggest organizational instability rather than retention strength [3]. No employee retention data available for a company this small. Insider Buying (1/2): CEO Steve Shum's leadership restructuring demonstrates hands-on involvement; the company raised $4M in private placement and $7.5M in warrant inducement, but no specific open-market insider buying data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INVO Fertility's financial profile reflects a micro-cap in early growth stage. D/E of 72.4% is near the target of 70%, showing manageable leverage [4]. Revenue growth of 22.6% YoY is strong, driven by clinic acquisitions and organic expansion toward a $9M pro forma run rate [1]. However, the company is deeply unprofitable with a net loss of $9.1M on $6.5M revenue (-387% net margin) and required dilutive financings ($4M placement, $7.5M warrant inducement) to fund operations [1]. Forward P/E is negative (expected continued losses), and profit margin is effectively 0% [4]. A 1:5 reverse stock split executed March 27, 2026 signals Nasdaq compliance pressure. The $18.7M market cap and going-concern language in prior filings highlight existential financial risk. Liquidity floor cleared: 1.41M avg vol × $2.68 = $3.79M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INVO Fertility shows aspirations to build a lasting fertility clinic network but operates with the survival-mode urgency of a micro-cap running out of cash. The called-off NAYA merger, repeated reverse stock splits, and dilutive capital raises suggest a company focused on near-term survival rather than long-term cause-driven growth.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fertility treatment accessible and affordable through INVOcell's lower-cost in-vivo approach is a genuine cause that connects business to patient welfare [2]. However, the company has pivoted strategies multiple times (INVOcell licensing → clinic acquisitions → NAYA merger → back to clinic acquisitions), suggesting the cause hasn't consistently shaped strategic decisions. The mission exists but hasn't survived a true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restructuring in December 2025 replaced the CFO and reshuffled executive roles [2]. The called-off NAYA Biosciences merger and repeated capital structure changes (reverse splits, warrant inducements) create organizational instability. The company is too small for employee culture data, and the micro-cap environment with going-concern risk does not foster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humility or learning from rivals in management commentary. INVO's positioning emphasizes INVOcell's unique technology but doesn't acknowledge the strengths of larger fertility networks (Progyny, CCRM, Shady Grove) that provide scale, data, and patient volume advantages INVO lacks.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INVO has changed strategic direction multiple times — from INVOcell device licensing to direct clinic ownership to NAYA merger to back to clinic acquisitions [3]. These pivots look more like strategic confusion than cause-driven flexibility. The company hasn't demonstrated the ability to execute on any single strategy long enough to prove transformative adaptation.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The company operates in survival mode, raising dilutive capital ($4M private placement, $7.5M warrant inducement) and executing reverse stock splits to maintain Nasdaq listing [1][3]. These are defensive financial maneuvers, not courageous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INVO Fertility offers a speculative healthcare play on expanding fertility treatment access through its proprietary INVOcell device and growing clinic network. Revenue grew 22.6% YoY to $6.5M with a pro forma run rate approaching $9M as the fourth clinic (Family Beginnings, $1.2M revenue, profitable) comes online [1]. INVOcell's in-vivo fertilization technology provides a lower-cost alternative to traditional IVF, addressing a real healthcare accessibility gap in the $30B+ global fertility market. The AI partnership with Heidi Health for clinical documentation shows willingness to adopt technology for operational efficiency [2]. The 39.2% gross margin suggests underlying service profitability at the clinic level, and CEO Shum's acquisition pipeline could accelerate revenue growth.</w:t>
      </w:r>
    </w:p>
    <w:p>
      <w:pPr>
        <w:spacing w:after="120"/>
      </w:pPr>
      <w:r>
        <w:rPr>
          <w:rFonts w:ascii="Calibri" w:hAnsi="Calibri"/>
          <w:b w:val="0"/>
          <w:color w:val="3A4A28"/>
          <w:sz w:val="20"/>
        </w:rPr>
        <w:t>The bear case is severe. INVO lost $9.1M on $6.5M revenue in 2024 (-387% net margin), and the company has required dilutive financings ($4M private placement, $7.5M warrant inducement) with going-concern language in prior filings [1][3]. The stock has declined 98% over 12 months and a 1:5 reverse stock split on March 27, 2026 signals Nasdaq delisting risk. At $18.7M market cap, this is a nano-cap with existential risk — one failed acquisition or capital raise could end the company. The called-off NAYA merger and repeated strategic pivots (device licensing → clinics → merger → back to clinics) raise questions about management's ability to execute a consistent strategy. Short interest and meme-stock speculation have created extreme price volatility unconnected to fundamentals [3]. The fertility clinic acquisition strategy is capital-intensive and INVO lacks the financial resources to compete with well-funded consolidators.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Family Beginnings Indianapolis clinic acquisition closing, adding $1.2M profitable revenue and bringing the network to four clinics with ~$9M run rate [1]</w:t>
      </w:r>
    </w:p>
    <w:p>
      <w:pPr>
        <w:spacing w:before="40" w:after="40"/>
        <w:ind w:left="283"/>
      </w:pPr>
      <w:r>
        <w:rPr>
          <w:rFonts w:ascii="Calibri" w:hAnsi="Calibri"/>
          <w:b/>
          <w:color w:val="4A6B25"/>
          <w:sz w:val="20"/>
        </w:rPr>
        <w:t xml:space="preserve">2. </w:t>
      </w:r>
      <w:r>
        <w:rPr>
          <w:rFonts w:ascii="Calibri" w:hAnsi="Calibri"/>
          <w:b w:val="0"/>
          <w:color w:val="3A4A28"/>
          <w:sz w:val="20"/>
        </w:rPr>
        <w:t>Continued clinic-level organic growth through AI documentation tools, strengthened care teams, and patient education driving same-clinic revenue increases [2]</w:t>
      </w:r>
    </w:p>
    <w:p>
      <w:pPr>
        <w:spacing w:before="40" w:after="40"/>
        <w:ind w:left="283"/>
      </w:pPr>
      <w:r>
        <w:rPr>
          <w:rFonts w:ascii="Calibri" w:hAnsi="Calibri"/>
          <w:b/>
          <w:color w:val="4A6B25"/>
          <w:sz w:val="20"/>
        </w:rPr>
        <w:t xml:space="preserve">3. </w:t>
      </w:r>
      <w:r>
        <w:rPr>
          <w:rFonts w:ascii="Calibri" w:hAnsi="Calibri"/>
          <w:b w:val="0"/>
          <w:color w:val="3A4A28"/>
          <w:sz w:val="20"/>
        </w:rPr>
        <w:t>Potential INVOcell technology adoption by partner clinics, expanding the addressable market for lower-cost fertility treatments beyond INVO-owned facilities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 $9.1M annual net loss on $6.5M revenue with going-concern language; survival depends on continued access to dilutive external capital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1:5 reverse stock split executed March 2026 to maintain $1.00 minimum bid, with stock down 98% in 12 months [3]</w:t>
      </w:r>
    </w:p>
    <w:p>
      <w:pPr>
        <w:spacing w:before="40" w:after="40"/>
        <w:ind w:left="283"/>
      </w:pPr>
      <w:r>
        <w:rPr>
          <w:rFonts w:ascii="Calibri" w:hAnsi="Calibri"/>
          <w:b/>
          <w:color w:val="4A6B25"/>
          <w:sz w:val="20"/>
        </w:rPr>
        <w:t xml:space="preserve">3. </w:t>
      </w:r>
      <w:r>
        <w:rPr>
          <w:rFonts w:ascii="Calibri" w:hAnsi="Calibri"/>
          <w:b w:val="0"/>
          <w:color w:val="3A4A28"/>
          <w:sz w:val="20"/>
        </w:rPr>
        <w:t>Strategic execution risk — multiple pivots (device licensing, clinic acquisitions, NAYA merger, back to acquisitions) suggest inability to commit to and execute a single coherent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Fertility clinic operations involve deeply personal healthcare services — physical medical procedures, physician-patient relationships, and regulated medical devices — that AI cannot substitute [2]. IVF treatment requires hands-on embryology, surgical procedures, and in-person patient care. However, AI is increasingly used in embryo selection and grading, which could commoditize some of the clinical decision-making that differentiates fertility providers. INVO's INVOcell device (in vivo fertilization) is a physical medical device that AI cannot replace. AI Opportunity (1/1): INVO has deployed Heidi Health's AI-powered scribe platform at Wisconsin Fertility Institute, generating operational efficiency gains through automated clinical documentation [2]. This demonstrates active AI adoption for practice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INVO Fertility Shareholder Letter, Stock Titan — $9M revenue run rate, Q4 2025 results, Family Beginnings acquisition,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INVO Fertility corporate — Heidi Health AI partnership, INVOcell technology, leadership restructuring, 2025-2026</w:t>
      </w:r>
    </w:p>
    <w:p>
      <w:pPr>
        <w:spacing w:before="20" w:after="20"/>
        <w:ind w:left="170"/>
      </w:pPr>
      <w:r>
        <w:rPr>
          <w:rFonts w:ascii="Calibri" w:hAnsi="Calibri"/>
          <w:b/>
          <w:color w:val="4A6B25"/>
          <w:sz w:val="15"/>
        </w:rPr>
        <w:t xml:space="preserve">3. </w:t>
      </w:r>
      <w:r>
        <w:rPr>
          <w:rFonts w:ascii="Calibri" w:hAnsi="Calibri"/>
          <w:b w:val="0"/>
          <w:color w:val="3A4A28"/>
          <w:sz w:val="17"/>
        </w:rPr>
        <w:t>Benzinga, Barchart, Fertility Bridge — NAYA merger collapse, reverse stock split, meme-stock activity, stock decline,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IVF,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