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IVR</w:t>
      </w:r>
      <w:r>
        <w:rPr>
          <w:rFonts w:ascii="Calibri" w:hAnsi="Calibri"/>
          <w:b/>
          <w:color w:val="1A2010"/>
          <w:sz w:val="40"/>
        </w:rPr>
        <w:t xml:space="preserve">  Invesco Mortgage Capital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2026-04-12 · Inspire: 15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REIT - Mortgage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Invesco Mortgage Capital Inc. is an externally managed mortgage REIT focused on investing in, financing, and managing mortgage-backed securities and other mortgage-related assets, primarily Agency RMBS. The company is managed by Invesco Advisers, Inc. and has no direct employees.</w:t>
      </w:r>
    </w:p>
    <w:p>
      <w:r>
        <w:rPr>
          <w:rFonts w:ascii="Calibri" w:hAnsi="Calibri"/>
          <w:b/>
          <w:color w:val="6E8450"/>
          <w:sz w:val="18"/>
        </w:rPr>
        <w:t>https://www.invescomortgagecapital.com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IVR operates a traditional Agency RMBS mREIT model with no meaningful pivots or business model transformation in 5 years; it has pared portfolios during rate volatility and re-levered, but the structure has not evolved [1]. AI Deployment (0/2): No customer-facing or internal AI products announced by IVR; parent Invesco has general AI commentary but nothing ties to the mREIT subsidiary [2]. Market Share (0/2): IVR is a small-cap (~$674M market cap) participant in a commoditized Agency RMBS space with no share leadership vs. AGNC, NLY, or STWD [3]. Pipeline (0/2): No product pipeline — mortgage REITs trade spread, not innovate. Leadership commentary focuses on book value and leverage updates [3]. R&amp;D Intensity (1/1): Externally managed structure means near-zero direct R&amp;D; Invesco's platform covers modeling, which is adequate for the sector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IVR's stated purpose is to provide attractive risk-adjusted returns to shareholders through Agency RMBS investment — clear but generic to the mREIT category and interchangeable with peers [1]. Community Impact (0/2): No company foundation or distinctive community programs disclosed; externally managed REITs rarely run community initiatives as they have no direct employees [1]. Employee Retention (0/2): IVR has no direct employees (externally managed by Invesco Advisers), making retention evidence inapplicable; parent Invesco carries 3.9/5 Glassdoor with some concerns about stifled innovation [2]. Insider Buying (1/2): Recent Board refresh (John Day retired Dec 2025, Don Liu as Chair Nov 2025) shows governance engagement but no meaningful insider buying data surfaced in research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 score reflects weak mREIT fundamentals: D/E of ~705% (7.05x) blows through the 300% floor — contributes 0 [3]. ROE has recovered with rebound earnings; revenue growth +51% in 2025 ($119.8M from $79.4M) is strong [1], but payout ratio of 122.7% exceeds the 100% floor — dividend not covered by earnings — contributes 0 [3]. Forward P/E ~3.7x (strong), but consecutive years of dividend growth is 0 after multiple cuts over last decade. Liquidity floor cleared: avg volume × $8.10 price &gt;&gt; $1M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IVR is a spread-trading mREIT externally managed by Invesco with no distinctive Just Cause, a pattern of dividend cuts over a decade, and a business model fully tethered to short-term rate cycles. There is nothing infinite about the company's posture — it is a financial vehicle, not a purpose-driven organization.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IVR has no articulated Just Cause beyond delivering risk-adjusted returns to shareholders — a generic corporate platitude interchangeable with any peer mREIT [1]. The 'why' of the company is to generate yield for income investors, which is a finite game premise.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As an externally managed REIT, IVR has no direct employee base to evaluate for trust or retention; parent Invesco has mixed Glassdoor reviews (3.9/5 overall but with employee critiques about stifled innovation) [2]. The structural conflict of interest between external manager and REIT shareholders undermines the trust frame.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Competition in Agency RMBS mREITs is about yield and book value versus AGNC, NLY, Two Harbors — the management narrative is spread/leverage positioning, not learning from competitors to improve [3]. No evidence of worthy-rival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IVR has tactically adjusted portfolio mix (Agency vs. credit tilt) and cut the dividend multiple times in response to rate shocks, but has not transformed its business model; it clings to the Agency mREIT structure through multiple cycles [1][3]. Incremental flexibility, not transformative.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has trimmed book value and cut the dividend to preserve the franchise when forced by markets — pragmatic rather than courageous [1]. No examples of bold strategic pivots undertaken before the market required them.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Bull case: IVR offers a ~17-20% dividend yield backed by a recovering Agency RMBS portfolio. 2025 revenue grew 51% to $119.8M with earnings up 154%, and Wall Street consensus forecasts 2026 EPS of $2.22 on $157M earnings — a 373% forecast earnings growth rate versus the mortgage REIT peer group average of 73% [1]. The forward P/E of ~3.7x and recent Board refresh under new Chair Don Liu signal governance renewal. For yield-seeking investors, the Invesco platform provides institutional-quality risk management for the mREIT mandate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Bear case: IVR's dividend payout ratio of 122.7% means the headline yield is not covered by earnings — dividend cuts have been a pattern over the past decade, erasing compounding for long-term holders [3]. Debt-to-equity of ~7x (705%) places IVR's balance sheet structurally above IOWN's 300% floor, and the externally managed structure creates permanent fee drag versus internally managed peers. Parent Invesco was fined $17.5M by the SEC in 2024 for misleading ESG claims, reflecting broader governance concerns at the sponsor level [4]. Agency RMBS spreads remain highly sensitive to Fed policy; any rate shock or MBS duration extension can vaporize book value quickly.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Fed rate cut cycle through 2026 would widen Agency RMBS spreads and lift net interest margin on a 7x-levered portfolio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Consensus 2026 EPS of $2.22 versus ~$1.44 annualized dividend would improve dividend coverage if realized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Board Chair Don Liu (November 2025) and governance refresh may drive capital allocation discipline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Dividend payout ratio of 122.7% signals another cut is plausible if rate volatility returns; IVR has cut the dividend repeatedly over the last decade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Debt-to-equity of 705% far exceeds IOWN's 300% risk floor — a sudden MBS duration extension could destroy book value rapidly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Externally managed structure creates permanent fee leakage to Invesco Advisers and parent company ESG governance was sanctioned by SEC in 2024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Agency RMBS investment is fundamentally a spread/leverage/hedging business tied to macro rates and prepayment speeds — AI cannot structurally replace demand for US mortgage securities. IVR's business is exposed to rate risk, not AI substitution risk [1]. External manager Invesco Advisers uses quantitative models (now increasingly AI-enhanced) to improve portfolio construction; if anything, AI modeling aids prepayment forecasting and hedging [2]. AI Opportunity (0/1): No AI-driven revenue disclosed by IVR or parent Invesco specifically attributable to mortgage REIT operations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15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WallStreetZen / Nasdaq — IVR 2026 analyst forecast ($157M earnings, $2.22 EPS, 373% growth) and 2025 revenue of $119.84M (+51%),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Invesco Mortgage Capital Board leadership announcement (Don Liu as Chair, Nov 2025; John Day retired Dec 2025); Invesco parent Glassdoor 3.9/5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StockAnalysis.com / Simply Wall St — IVR statistics: $8.10 price, D/E 7.05, dividend yield 17.82%, payout ratio 122.7%,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ESG Today — SEC fines Invesco $17.5M for misleading ESG claims (parent company governance precedent), 2024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