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IVZ</w:t>
      </w:r>
      <w:r>
        <w:rPr>
          <w:rFonts w:ascii="Calibri" w:hAnsi="Calibri"/>
          <w:b/>
          <w:color w:val="1A2010"/>
          <w:sz w:val="40"/>
        </w:rPr>
        <w:t xml:space="preserve">  Invesco Ltd.</w:t>
      </w:r>
    </w:p>
    <w:p>
      <w:pPr>
        <w:spacing w:after="120"/>
      </w:pPr>
      <w:r>
        <w:rPr>
          <w:rFonts w:ascii="Calibri" w:hAnsi="Calibri"/>
          <w:b/>
          <w:color w:val="6E8450"/>
          <w:sz w:val="18"/>
        </w:rPr>
        <w:t>DIVIDEND SLEEVE · 2026-03-31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Invesco is a global investment management firm with $2.2 trillion in assets under management, serving retail, institutional, and high-net-worth clients in over 120 countries. The company offers actively managed funds, ETFs (including the flagship QQQ), index strategies, fixed income, alternatives, and private markets. Invesco has a significant China joint venture ($132 billion AUM) and is transitioning toward a hybrid investment platform.</w:t>
      </w:r>
    </w:p>
    <w:p>
      <w:r>
        <w:rPr>
          <w:rFonts w:ascii="Calibri" w:hAnsi="Calibri"/>
          <w:b/>
          <w:color w:val="6E8450"/>
          <w:sz w:val="18"/>
        </w:rPr>
        <w:t>7,499 Employees · https://www.invesco.com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Invesco grew ETF and index revenue by 22% in FY2025 and expanded its China JV to a record $132 billion AUM with 36% annualized organic growth [1]. However, fundamental equities suffered $5.5 billion in net outflows, and the overall business model remains largely the same as five years ago — fee-based AUM management with declining net revenue yields [1]. AI Deployment (1/2): Invesco deployed 30+ GenAI solutions into production under its Responsible AI Council, with the Global Head of AI spending nine years building internal capabilities [2]. However, no specific revenue or cost savings from AI have been quantified publicly. Market Share (1/2): Invesco is a top-10 global asset manager with $2.2 trillion AUM and $81.2 billion in net long-term inflows for FY2025, but it is losing share in actively managed equities to lower-cost competitors [1]. Pipeline (1/2): The Hybrid Investment Platform implementation expected by end of 2026 should improve operational efficiency, and the strategic partnership in Canada expands distribution [1]. R&amp;D Intensity (0/1): Asset managers do not carry meaningful R&amp;D budgets; Invesco's technology spending is in line with peers but not a differentiator.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Invesco's purpose centers on 'delivering a great investment experience' for clients worldwide — clear and identifies beneficiaries, but interchangeable with virtually any asset management peer and does not articulate a deeper purpose beyond client returns [2]. Community Impact (0/2): No distinctive charitable programs, community investment initiatives, or foundation activities were found in research beyond standard corporate social responsibility reporting. Employee Retention (1/2): Glassdoor rating of 3.8/5 with 74% of employees recommending the company and 4.1/5 for work-life balance suggests adequate retention [2]. However, reviews cite loss of top talent to competitors, growing pains from reorganization, and inconsistent management quality. Insider Buying (0/2): No publicly reported meaningful insider buying by executives in recent periods; CEO compensation is predominantly stock-based ($11.2M total) but no voluntary open-market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Invesco's balance sheet shows low leverage (D/E 17.2%) and an attractive forward P/E of 7.7×, but GAAP profitability is negative due to a $1.8 billion non-cash intangible impairment charge in Q4 2025, resulting in a net loss of $1.19 billion [1]. Adjusted operating margin of 36.4% and free cash flow of $746 million demonstrate underlying earnings power that GAAP figures obscure. The company repurchased $1.5 billion in preferred stock and repaid $240 million in term loans during 2025, targeting a 60% total payout ratio in 2026 [1]. However, ROE is negative at -1.2% on a trailing basis and revenue growth has been modest at 6.2% YoY. The dividend has been paid for 31 consecutive years with a yield of 3.6%, though it was cut during COVID and has only recently resumed modest growth. Liquidity floor cleared: 5.7M avg volume × $23.29 = $132.8M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Invesco operates with a largely finite mindset — the business is driven by AUM growth, fee optimization, and competitive positioning against peers like BlackRock and Vanguard. The $1.8 billion impairment charge reflects prior acquisition-driven growth strategies that destroyed value. While the pivot toward ETFs and the China expansion show some strategic flexibility, the company lacks a distinctive purpose beyond delivering investment returns and has been caught making misleading ESG claims to protect AUM.</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Invesco's purpose of delivering great investment experiences is generic — interchangeable with any asset manager globally [2]. The company was founded in 1935, but its identity has been shaped more by M&amp;A (AMVESCAP, Van Kampen, OppenheimerFunds) than by a unifying vision. The $17.5 million SEC fine for misleading ESG integration claims — where the firm classified passive ETFs as 'ESG integrated' to protect AUM — suggests purpose follows commercial incentives rather than the reverse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3.8/5 with 74% recommending the company and strong work-life balance scores (4.1/5) indicate an adequately trusted organization [2]. Leadership has been stable under CEO Schlossberg since June 2023. However, reviews cite loss of top talent to competitors, over-hiring in some areas while essential departments remain understaffed, and inconsistent management quality — suggesting organizational trust varies significantly by team.</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Invesco's competitive language focuses on AUM rankings, market share, and flow metrics relative to peers like BlackRock, Vanguard, and Fidelity. No evidence was found of management publicly acknowledging rivals' strengths or framing competition as a catalyst for self-improvement. The industry's obsession with AUM league tables reflects a 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Invesco has incrementally evolved from a traditional active manager toward ETFs and index strategies (now generating 22% revenue growth), built a significant China JV ($132B AUM with 36% organic growth), and is implementing a Hybrid Investment Platform for completion by end 2026 [1]. These are meaningful but incremental shifts rather than transformative reinventions — the core business model of fee-based AUM management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Invesco repurchased $1.5 billion in preferred stock and repaid $240 million in debt during 2025, prioritizing balance sheet strength over short-term earnings despite the cost [1]. The bet on China (where many Western asset managers have retreated) shows willingness to invest against consensus. However, the SEC ESG enforcement action — where the firm inflated ESG integration claims to protect AUM — suggests commercial pressures override principled decision-making in some areas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Invesco offers deep value at 7.7× forward P/E with $2.2 trillion AUM growing 19% YoY, driven by record net long-term inflows of $81.2 billion in FY2025 and a 5% annualized organic growth rate [1]. The ETF and index business grew revenue 22% and the China JV reached record $132 billion AUM with 36% annualized organic growth [1]. Balance sheet improvement is underway — $1.5 billion in preferred stock repurchased and $240 million in debt repaid — with management targeting a 60% total payout ratio in 2026. The 3.6% dividend yield with 31 consecutive years of payment provides income support. Adjusted operating margin of 36.4% demonstrates underlying profitability obscured by the one-time $1.8 billion impairment charge [1].</w:t>
      </w:r>
    </w:p>
    <w:p>
      <w:pPr>
        <w:spacing w:after="120"/>
      </w:pPr>
      <w:r>
        <w:rPr>
          <w:rFonts w:ascii="Calibri" w:hAnsi="Calibri"/>
          <w:b w:val="0"/>
          <w:color w:val="3A4A28"/>
          <w:sz w:val="20"/>
        </w:rPr>
        <w:t>The bear case centers on structural headwinds and governance risk. The $1.8 billion non-cash impairment of intangible assets from prior acquisitions (OppenheimerFunds) signals that value-destructive M&amp;A has eroded shareholder wealth [1]. Active equity outflows of $5.5 billion in FY2025 reflect secular industry shifts toward passive investing that threaten Invesco's higher-fee products [1]. Net revenue yield continues to decline as the product mix shifts toward lower-fee ETFs and index funds. The $17.5 million SEC fine for misleading ESG integration claims damaged credibility and suggests weak internal governance controls [3]. GAAP profitability is negative with -4.4% net margin and -1.2% ROE on a trailing basis. The dividend was cut during COVID and has only recently resumed modest growth ($0.21/quarter vs pre-cut $0.31), leaving the payout ratio elevated at 56%. Competition from BlackRock, Vanguard, and fintech disruptors continues to compress margins across the industry.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Hybrid Investment Platform completion by end 2026 expected to reduce operating costs and enable personalized portfolio capabilities, supporting margin expansion toward the 60% payout ratio target [1]</w:t>
      </w:r>
    </w:p>
    <w:p>
      <w:pPr>
        <w:spacing w:before="40" w:after="40"/>
        <w:ind w:left="283"/>
      </w:pPr>
      <w:r>
        <w:rPr>
          <w:rFonts w:ascii="Calibri" w:hAnsi="Calibri"/>
          <w:b/>
          <w:color w:val="4A6B25"/>
          <w:sz w:val="20"/>
        </w:rPr>
        <w:t xml:space="preserve">2. </w:t>
      </w:r>
      <w:r>
        <w:rPr>
          <w:rFonts w:ascii="Calibri" w:hAnsi="Calibri"/>
          <w:b w:val="0"/>
          <w:color w:val="3A4A28"/>
          <w:sz w:val="20"/>
        </w:rPr>
        <w:t>China JV momentum — $132 billion AUM with 36% annualized organic growth rate and $8.9 billion in net inflows provides a high-growth lever that most Western competitors lack [1]</w:t>
      </w:r>
    </w:p>
    <w:p>
      <w:pPr>
        <w:spacing w:before="40" w:after="40"/>
        <w:ind w:left="283"/>
      </w:pPr>
      <w:r>
        <w:rPr>
          <w:rFonts w:ascii="Calibri" w:hAnsi="Calibri"/>
          <w:b/>
          <w:color w:val="4A6B25"/>
          <w:sz w:val="20"/>
        </w:rPr>
        <w:t xml:space="preserve">3. </w:t>
      </w:r>
      <w:r>
        <w:rPr>
          <w:rFonts w:ascii="Calibri" w:hAnsi="Calibri"/>
          <w:b w:val="0"/>
          <w:color w:val="3A4A28"/>
          <w:sz w:val="20"/>
        </w:rPr>
        <w:t>Preferred stock buyback benefit — $1.5 billion repurchased in 2025 expected to generate $0.20 EPS accretion once associated debt is fully repaid, directly improving earnings per share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active-to-passive shift — $5.5 billion in fundamental equity outflows in FY2025 may accelerate as AI-driven investing tools and low-cost ETFs erode demand for actively managed products [1]</w:t>
      </w:r>
    </w:p>
    <w:p>
      <w:pPr>
        <w:spacing w:before="40" w:after="40"/>
        <w:ind w:left="283"/>
      </w:pPr>
      <w:r>
        <w:rPr>
          <w:rFonts w:ascii="Calibri" w:hAnsi="Calibri"/>
          <w:b/>
          <w:color w:val="4A6B25"/>
          <w:sz w:val="20"/>
        </w:rPr>
        <w:t xml:space="preserve">2. </w:t>
      </w:r>
      <w:r>
        <w:rPr>
          <w:rFonts w:ascii="Calibri" w:hAnsi="Calibri"/>
          <w:b w:val="0"/>
          <w:color w:val="3A4A28"/>
          <w:sz w:val="20"/>
        </w:rPr>
        <w:t>Acquisition integration risk — the $1.8 billion intangible impairment from OppenheimerFunds signals ongoing value destruction from legacy M&amp;A, and the pending Canadian partnership may create additional short-term earnings drag starting Q3 2026 [1]</w:t>
      </w:r>
    </w:p>
    <w:p>
      <w:pPr>
        <w:spacing w:before="40" w:after="40"/>
        <w:ind w:left="283"/>
      </w:pPr>
      <w:r>
        <w:rPr>
          <w:rFonts w:ascii="Calibri" w:hAnsi="Calibri"/>
          <w:b/>
          <w:color w:val="4A6B25"/>
          <w:sz w:val="20"/>
        </w:rPr>
        <w:t xml:space="preserve">3. </w:t>
      </w:r>
      <w:r>
        <w:rPr>
          <w:rFonts w:ascii="Calibri" w:hAnsi="Calibri"/>
          <w:b w:val="0"/>
          <w:color w:val="3A4A28"/>
          <w:sz w:val="20"/>
        </w:rPr>
        <w:t>Governance and compliance risk — the $17.5 million SEC fine for misleading ESG claims reveals weak internal controls; future regulatory actions could further damage institutional client trust and trigger additional AUM outflows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Asset management faces meaningful AI disruption from robo-advisors, AI-driven trading algorithms, and fee compression as passive/index investing grows — Invesco's own active equity business suffered $5.5 billion in net outflows in FY2025 [1]. However, Invesco's scale ($2.2 trillion AUM), institutional distribution relationships, brand trust built over 90 years, and regulatory complexity in fund management create meaningful barriers that AI alone cannot replicate. The company acknowledges in its annual report that 'advancements in AI present risks and challenges' to the business [2]. AI Opportunity (1/1): Invesco generates quantifiable revenue from AI-themed investment products, most notably the QQQ ETF franchise which is among the largest and most liquid ETFs globally, providing direct exposure to AI infrastructure companies [2]. The firm also deployed 30+ internal GenAI tools for operational efficiency.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Invesco Q4 2025 Earnings Release — $2.2T AUM, $1.23B revenue, $81.2B net long-term inflows, January 2026</w:t>
      </w:r>
    </w:p>
    <w:p>
      <w:pPr>
        <w:spacing w:before="20" w:after="20"/>
        <w:ind w:left="170"/>
      </w:pPr>
      <w:r>
        <w:rPr>
          <w:rFonts w:ascii="Calibri" w:hAnsi="Calibri"/>
          <w:b/>
          <w:color w:val="4A6B25"/>
          <w:sz w:val="15"/>
        </w:rPr>
        <w:t xml:space="preserve">2. </w:t>
      </w:r>
      <w:r>
        <w:rPr>
          <w:rFonts w:ascii="Calibri" w:hAnsi="Calibri"/>
          <w:b w:val="0"/>
          <w:color w:val="3A4A28"/>
          <w:sz w:val="17"/>
        </w:rPr>
        <w:t>S&amp;P Global, Glassdoor, Georgia Tech — CEO Schlossberg leadership, AI strategy, employee reviews, 2025-2026</w:t>
      </w:r>
    </w:p>
    <w:p>
      <w:pPr>
        <w:spacing w:before="20" w:after="20"/>
        <w:ind w:left="170"/>
      </w:pPr>
      <w:r>
        <w:rPr>
          <w:rFonts w:ascii="Calibri" w:hAnsi="Calibri"/>
          <w:b/>
          <w:color w:val="4A6B25"/>
          <w:sz w:val="15"/>
        </w:rPr>
        <w:t xml:space="preserve">3. </w:t>
      </w:r>
      <w:r>
        <w:rPr>
          <w:rFonts w:ascii="Calibri" w:hAnsi="Calibri"/>
          <w:b w:val="0"/>
          <w:color w:val="3A4A28"/>
          <w:sz w:val="17"/>
        </w:rPr>
        <w:t>SEC Press Release 2024-179 — $17.5M fine for misleading ESG integration claims, November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