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JAGX</w:t>
      </w:r>
      <w:r>
        <w:rPr>
          <w:rFonts w:ascii="Calibri" w:hAnsi="Calibri"/>
          <w:b/>
          <w:color w:val="1A2010"/>
          <w:sz w:val="40"/>
        </w:rPr>
        <w:t xml:space="preserve">  Jaguar Health, Inc.</w:t>
      </w:r>
    </w:p>
    <w:p>
      <w:pPr>
        <w:spacing w:after="120"/>
      </w:pPr>
      <w:r>
        <w:rPr>
          <w:rFonts w:ascii="Calibri" w:hAnsi="Calibri"/>
          <w:b/>
          <w:color w:val="6E8450"/>
          <w:sz w:val="18"/>
        </w:rPr>
        <w:t>GROWTH SLEEVE · 2026-04-07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Jaguar Health, Inc. is a commercial-stage pharmaceuticals company developing plant-based prescription medicines for gastrointestinal distress in humans and animals. Key products include Mytesi (crofelemer) for HIV/AIDS-related diarrhea and Canalevia-CA1 for chemotherapy-induced diarrhea in dogs. The pipeline includes Phase III trials of crofelemer for cancer therapy-related diarrhea and Phase II trials for short bowel syndrome and IBS-D.</w:t>
      </w:r>
    </w:p>
    <w:p>
      <w:r>
        <w:rPr>
          <w:rFonts w:ascii="Calibri" w:hAnsi="Calibri"/>
          <w:b/>
          <w:color w:val="6E8450"/>
          <w:sz w:val="18"/>
        </w:rPr>
        <w:t>49 Employees · https://jaguar.health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Jaguar successfully brought Mytesi (crofelemer) to market as the only FDA-approved anti-secretory antidiarrheal for HIV/AIDS patients, and launched Canalevia-CA1 for veterinary use — meaningful but niche product launches over the past 5 years [1]. AI Deployment (0/2): No AI deployment or AI-driven drug discovery initiatives disclosed; the company relies on traditional ethnobotanical and clinical development approaches [2]. Market Share (0/2): Mytesi serves a narrow indication (HIV/AIDS-related diarrhea) with annual revenue of ~$12M, representing minimal market presence in the broader GI therapeutics space [1]. Pipeline (1/2): Phase III trial for crofelemer in cancer therapy-related diarrhea (CTD) and Phase II for short bowel syndrome and microvillus inclusion disease provide pipeline visibility, plus NP-300 second-generation antidiarrheal in Phase I [1]. R&amp;D Intensity (1/1): As a clinical-stage biotech with 49 employees, R&amp;D spending is substantial relative to the $12M revenue base, consistent with the company's drug development mission.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Jaguar Health's mission to develop plant-based prescription medicines derived from traditional rainforest remedies is genuinely distinctive and connects commercial activity to ethnobotanical preservation and patient access [2]. CEO Lisa Conte founded the company with a specific vision of translating indigenous plant knowledge into FDA-approved therapeutics — a purpose that clearly differentiates from peer biotechs. Community Impact (0/2): No evidence of significant charitable or community investment programs beyond the company's core mission of drug development. Employee Retention (0/2): With only 49 employees, no public data on retention metrics or tenure. Insider Buying (2/2): CEO Lisa Conte and board members personally invested in a $3.448M bridge financing priced at-the-market, demonstrating meaningful insider conviction with personal capital at risk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Jaguar Health's financial profile reflects a pre-profitability biotech burning cash to fund clinical trials. D/E of 731.8% is critically elevated with $31.9M debt against only $3.5M cash, creating significant balance sheet risk [3]. ROE of -411.6% and profit margin near 0% reflect persistent operating losses of ~$8M per quarter [1]. Revenue of $11.8M grew modestly from $9.8M in 2023, but the 5yr CAGR from $4.3M (2021) is strong at ~39% reflecting the Mytesi commercial ramp [3]. Forward P/E is negative (losses expected to continue), and market cap of just $5.1M raises going-concern questions [3]. Liquidity floor narrowly cleared: 3.9M avg vol × $0.41 = $1.6M daily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Jaguar Health has a genuine purpose in bringing plant-based medicines from traditional remedies to FDA approval, but the company's existential financial constraints force a finite focus on near-term survival — bridge financings, cash burn management, and getting the next indication approved before capital runs out. The mission is real but the game is survival, not endurance.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Jaguar Health has a distinctive Just Cause: translating indigenous ethnobotanical knowledge into FDA-approved prescription medicines, preserving rainforest plant wisdom while improving patient outcomes for underserved GI conditions [2]. CEO Lisa Conte founded the company on this vision and has persisted through severe financial challenges. The cause is genuine and partially lived — Mytesi's approval validates the approach — but the company's precarious finances limit how far the cause can extend.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49 employees, Jaguar operates as a small, mission-driven team under founder-CEO Lisa Conte. The 'tomato meetings' culture (where employees throw tomatoes at judgmental feedback) suggests an intentional effort to create psychological safety and encourage candid dialogue [2]. Recent executive team expansion in commercial and clinical roles shows organizational building, though the tiny team size limits assessment.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an infinite competitive mindset. Jaguar operates in a niche (plant-based GI medicines) with few direct competitors, and the company's communications focus on its own pipeline milestones rather than learning from or acknowledging the strengths of larger GI therapeutics players.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Jaguar is a single-platform company built entirely around crofelemer and its derivatives. While the expansion from human health (Mytesi) to animal health (Canalevia) shows some flexibility, the company has not demonstrated transformative reinvention [1]. The financial constraints ($5M market cap, negative cash flow) severely limit the capacity for strategic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Lisa Conte and board members investing personal capital in a $3.448M bridge financing when the stock trades at $0.41 demonstrates genuine courage and skin-in-the-game commitment [2]. Persisting with an ethnobotanical pharmaceutical platform through years of losses and a collapsing stock price requires conviction, though the question is whether persistence becomes stubbornness when capital is exhausted.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Jaguar Health offers a speculative bet on the commercial expansion of crofelemer, the only FDA-approved plant-based anti-secretory antidiarrheal, with Phase III trials in cancer therapy-related diarrhea (CTD) potentially opening a market 10x larger than the current HIV/AIDS indication [1]. Revenue has grown from $4.3M (2021) to $11.8M (TTM) demonstrating the Mytesi commercial ramp, and Q2 2025 revenue grew 35% sequentially and 10% YoY [1]. The pipeline includes Phase II trials for orphan indications (short bowel syndrome, microvillus inclusion disease) that could command premium pricing. CEO and board insider buying of $3.45M at-the-market signals leadership conviction [2]. Gross margins of 81.9% on Mytesi sales demonstrate the unit economics work if volume scales.</w:t>
      </w:r>
    </w:p>
    <w:p>
      <w:pPr>
        <w:spacing w:after="120"/>
      </w:pPr>
      <w:r>
        <w:rPr>
          <w:rFonts w:ascii="Calibri" w:hAnsi="Calibri"/>
          <w:b w:val="0"/>
          <w:color w:val="3A4A28"/>
          <w:sz w:val="20"/>
        </w:rPr>
        <w:t>The bear case is existential. Jaguar Health has a $5.1M market cap, $3.5M cash, $31.9M debt, and burns ~$26M annually in operating cash flow — the company faces immediate going-concern risk without additional financing [3]. D/E of 731.8% and negative ROE of -411.6% reflect a balance sheet in distress. The $0.41 stock price and penny stock status severely limit institutional participation and create dilution risk from inevitable capital raises. Revenue growth has stalled at -0.8% YoY despite years of Mytesi commercialization, suggesting a ceiling on the HIV/AIDS diarrhea market. Phase III CTD trial success is uncertain, and even positive results require years and additional capital to commercialize. Operating losses of ~$8M per quarter are expanding, not contracting [1]. The company's survival depends entirely on securing financing and achieving clinical milestones before capital is exhausted.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III CTD trial readout for crofelemer in cancer therapy-related diarrhea — a positive result could open a significantly larger market than the current HIV/AIDS indication [1]</w:t>
      </w:r>
    </w:p>
    <w:p>
      <w:pPr>
        <w:spacing w:before="40" w:after="40"/>
        <w:ind w:left="283"/>
      </w:pPr>
      <w:r>
        <w:rPr>
          <w:rFonts w:ascii="Calibri" w:hAnsi="Calibri"/>
          <w:b/>
          <w:color w:val="4A6B25"/>
          <w:sz w:val="20"/>
        </w:rPr>
        <w:t xml:space="preserve">2. </w:t>
      </w:r>
      <w:r>
        <w:rPr>
          <w:rFonts w:ascii="Calibri" w:hAnsi="Calibri"/>
          <w:b w:val="0"/>
          <w:color w:val="3A4A28"/>
          <w:sz w:val="20"/>
        </w:rPr>
        <w:t>Orphan drug designations for short bowel syndrome and microvillus inclusion disease, which could provide regulatory fast-track and premium pricing if trials succeed [1]</w:t>
      </w:r>
    </w:p>
    <w:p>
      <w:pPr>
        <w:spacing w:before="40" w:after="40"/>
        <w:ind w:left="283"/>
      </w:pPr>
      <w:r>
        <w:rPr>
          <w:rFonts w:ascii="Calibri" w:hAnsi="Calibri"/>
          <w:b/>
          <w:color w:val="4A6B25"/>
          <w:sz w:val="20"/>
        </w:rPr>
        <w:t xml:space="preserve">3. </w:t>
      </w:r>
      <w:r>
        <w:rPr>
          <w:rFonts w:ascii="Calibri" w:hAnsi="Calibri"/>
          <w:b w:val="0"/>
          <w:color w:val="3A4A28"/>
          <w:sz w:val="20"/>
        </w:rPr>
        <w:t>Potential partnership or licensing deal for crofelemer with a larger pharma company, providing non-dilutive capital and commercial infrastructure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risk — $3.5M cash with $26M annual cash burn and $31.9M debt creates imminent financing need; failure to raise capital could force restructuring or bankruptcy [3]</w:t>
      </w:r>
    </w:p>
    <w:p>
      <w:pPr>
        <w:spacing w:before="40" w:after="40"/>
        <w:ind w:left="283"/>
      </w:pPr>
      <w:r>
        <w:rPr>
          <w:rFonts w:ascii="Calibri" w:hAnsi="Calibri"/>
          <w:b/>
          <w:color w:val="4A6B25"/>
          <w:sz w:val="20"/>
        </w:rPr>
        <w:t xml:space="preserve">2. </w:t>
      </w:r>
      <w:r>
        <w:rPr>
          <w:rFonts w:ascii="Calibri" w:hAnsi="Calibri"/>
          <w:b w:val="0"/>
          <w:color w:val="3A4A28"/>
          <w:sz w:val="20"/>
        </w:rPr>
        <w:t>Dilution risk — at $0.41/share with a $5.1M market cap, any equity raise will be massively dilutive to existing shareholders [3]</w:t>
      </w:r>
    </w:p>
    <w:p>
      <w:pPr>
        <w:spacing w:before="40" w:after="40"/>
        <w:ind w:left="283"/>
      </w:pPr>
      <w:r>
        <w:rPr>
          <w:rFonts w:ascii="Calibri" w:hAnsi="Calibri"/>
          <w:b/>
          <w:color w:val="4A6B25"/>
          <w:sz w:val="20"/>
        </w:rPr>
        <w:t xml:space="preserve">3. </w:t>
      </w:r>
      <w:r>
        <w:rPr>
          <w:rFonts w:ascii="Calibri" w:hAnsi="Calibri"/>
          <w:b w:val="0"/>
          <w:color w:val="3A4A28"/>
          <w:sz w:val="20"/>
        </w:rPr>
        <w:t>Clinical trial failure — Phase III CTD results are binary; a negative readout would eliminate the primary growth catalyst and likely trigger further stock decline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Jaguar Health's core business — developing and commercializing plant-based prescription medicines through FDA-regulated clinical trials — has meaningful defensive moats against AI disruption [1]. Drug development requires physical clinical trials, regulatory submissions, and manufacturing that AI cannot substitute. However, AI-driven drug discovery by larger pharma companies could accelerate competitive GI therapeutics that erode Jaguar's niche. The company's ethnobotanical sourcing from rainforest plants is inherently physical and proprietary. AI Opportunity (0/1): No AI-related revenue or AI-powered products; the company uses traditional pharmaceutical development methods.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Jaguar Health Q3 2025 Earnings Report and Press Releases — $3.08M revenue, $8M operating loss, pipeline updates, 2025-2026</w:t>
      </w:r>
    </w:p>
    <w:p>
      <w:pPr>
        <w:spacing w:before="20" w:after="20"/>
        <w:ind w:left="170"/>
      </w:pPr>
      <w:r>
        <w:rPr>
          <w:rFonts w:ascii="Calibri" w:hAnsi="Calibri"/>
          <w:b/>
          <w:color w:val="4A6B25"/>
          <w:sz w:val="15"/>
        </w:rPr>
        <w:t xml:space="preserve">2. </w:t>
      </w:r>
      <w:r>
        <w:rPr>
          <w:rFonts w:ascii="Calibri" w:hAnsi="Calibri"/>
          <w:b w:val="0"/>
          <w:color w:val="3A4A28"/>
          <w:sz w:val="17"/>
        </w:rPr>
        <w:t>Jaguar Health Corporate Website and CEO Interviews — Lisa Conte leadership, $3.448M insider bridge financing, mission and culture,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JAGX (Jaguar Health),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