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JCI</w:t>
      </w:r>
      <w:r>
        <w:rPr>
          <w:rFonts w:ascii="Calibri" w:hAnsi="Calibri"/>
          <w:b/>
          <w:color w:val="1A2010"/>
          <w:sz w:val="40"/>
        </w:rPr>
        <w:t xml:space="preserve">  Johnson Controls International plc</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Ireland</w:t>
      </w:r>
    </w:p>
    <w:p>
      <w:pPr>
        <w:spacing w:after="80"/>
      </w:pPr>
      <w:r>
        <w:rPr>
          <w:rFonts w:ascii="Calibri" w:hAnsi="Calibri"/>
          <w:b w:val="0"/>
          <w:color w:val="3A4A28"/>
          <w:sz w:val="20"/>
        </w:rPr>
        <w:t>Johnson Controls International designs, manufactures, and services HVAC systems, building management controls, fire detection and suppression systems, and security solutions for commercial, institutional, industrial, and data center customers globally. Founded in 1885, JCI operates through Building Solutions North America, EMEA/LA, Asia Pacific, and Global Products segments, with a growing focus on AI-powered smart building technology through its OpenBlue platform.</w:t>
      </w:r>
    </w:p>
    <w:p>
      <w:r>
        <w:rPr>
          <w:rFonts w:ascii="Calibri" w:hAnsi="Calibri"/>
          <w:b/>
          <w:color w:val="6E8450"/>
          <w:sz w:val="18"/>
        </w:rPr>
        <w:t>87,000 Employees · https://www.johnsoncontrols.com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JCI has successfully pivoted from a diversified industrial conglomerate (post-Tyco merger in 2016) to a focused smart buildings company, divesting the automotive battery business (now Adient) and sharpening focus on HVAC, controls, and fire/security — Q1 FY2026 orders surged 40% YoY on top of 16% prior-year growth [1]. AI Deployment (2/2): OpenBlue platform delivers AI-powered building optimization with measurable results — the JADEC innovation lab is the world's largest for building technology, and two JCI leaders named to Constellation Research AI 150 list. CDIO Vijay Sankaran confirmed AI is transforming buildings into 'self-optimizing environments' with quantified energy savings [2]. Market Share (1/2): JCI is a global leader in building automation and HVAC but competes against Honeywell, Siemens, and Carrier in a fragmented market. Record backlog of $18B (up 20%) and Americas backlog of $13.3B demonstrate strong competitive positioning [1]. Pipeline (1/2): 2026 guidance raised to ~$4.70 EPS (25% growth) with mid-single-digit revenue growth, and data center demand provides secular tailwind, but large orders take 9+ months to convert to revenue [1]. R&amp;D Intensity (1/1): JADEC innovation center investment and OpenBlue platform development reflect above-industry R&amp;D commitment for the building products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JCI's stated purpose — 'reimagining the performance of buildings to serve people, places and the planet' — is clear and connects building technology to sustainability and human comfort, but it's not distinctively inspiring compared to peers like Honeywell or Siemens [2]. Community Impact (1/2): JCI committed to net-zero emissions by 2040 (10 years ahead of Paris Agreement), 23 zero-landfill manufacturing sites, and published sustainability reports since 2003 — meaningful environmental leadership for an industrial company [3]. Employee Retention (1/2): 87,000 employees with a 140-year operating history and new CEO Joakim Weidemanis (from Danaher) bringing operational discipline. However, the $17.5M commission settlement involving 1,800 sales reps and a massive data breach affecting 76M households raise social governance concerns [3]. Insider Buying (2/2): New CEO Weidemanis took the role in March 2025 with significant equity alignment, and the board raised FY2026 guidance in his first quarter — strong management conviction signaled by the raised EPS guidance to ~$4.70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JCI's financial profile shows improving fundamentals under new leadership. Q1 FY2026 revenue grew 7% to $5.8B with adjusted EBIT margins expanding 190bps to 12.4% and adjusted EPS up nearly 40% YoY [1]. D/E of 73.3% is near the target threshold, ROE of 12.6% is below the 15% target but improving, and profit margin of 14.2% is solid for an industrial company [4]. Forward P/E of 23.6x is elevated but reflects the data center secular growth premium and margin expansion trajectory. Free cash flow of $531M in Q1 with expected 100% FCF conversion for the year demonstrates cash generation capability [1]. Revenue growth of 6.8% YoY is modest, and the 5-year CAGR of approximately 4% reflects the pre-transformation growth profile. Liquidity floor easily cleared: 5.3M avg vol × $130.95 = $694.0M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Johnson Controls' 140-year operating history demonstrates institutional endurance that few companies can match. The recent transformation from a conglomerate to a focused smart buildings leader under new CEO Weidemanis shows existential flexibility, while the data center secular tailwind provides a multi-decade growth vector. However, the commission disputes, data breach, and frequent strategic pivots (Tyco merger, automotive divestiture, power solutions spinoff) suggest a company that has sometimes prioritized financial engineering over steady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JCI's cause — reimagining building performance to serve people, places, and the planet — connects building technology to human comfort and sustainability in a genuine way, validated by 140 years of continuous operation and the net-zero 2040 commitment [2][3]. The data center opportunity extends this cause to enabling AI infrastructure. However, the frequent strategic restructurings (Tyco merger, battery spinoff, recent simplification) suggest the cause has evolved more than it has endured — Sinek would note it's been tested by markets but not always by principle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JCI employs 87,000 people with new CEO Weidemanis bringing Danaher's operational culture of continuous improvement [1]. However, the $17.5M settlement with 1,800 sales representatives alleging retroactive commission changes directly undermines trust — altering promised compensation is antithetical to Sinek's Circle of Safety [3]. The 2023 data breach affecting 76M households with a 22-month notification delay adds governance concerns. Adequate trust in the broader organization but significant lapses in specific areas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JCI explicitly acknowledges Honeywell's building automation capabilities and Siemens's digital twin technology as competitive forces that push JCI to innovate. The partnership with Microsoft and Accenture shows willingness to collaborate where others have strengths rather than trying to build everything internally [2]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JCI has repeatedly reinvented itself — from Johnson Controls (thermostats) to Tyco merger (security/fire) to automotive battery spinoff (Adient) to smart buildings platform (OpenBlue). Each pivot reshaped the company significantly. However, the frequency of these transformations suggests reactive adaptation to market pressures rather than proactive cause-driven flexibility. The current data center pivot is strategic but follows secular demand rather than leading it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hiring of Weidemanis from Danaher to replace long-tenured George Oliver signals willingness to bring in operational excellence even at the cost of continuity [1]. Raising FY2026 EPS guidance to $4.70 in Q1 demonstrates confidence. However, the commission disputes and data breach response (22-month notification delay) suggest leadership sometimes prioritizes cost savings over doing right by stakeholders, which Sinek would view as finite thinking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Johnson Controls is a 140-year industrial leader positioned at the intersection of two secular megatrends — smart buildings and AI data center infrastructure. Q1 FY2026 delivered 7% revenue growth to $5.8B with adjusted EPS up nearly 40% and EBIT margins expanding 190bps to 12.4% [1]. Orders surged 40% (on top of 16% prior year) with record backlog of $18B, providing multi-year revenue visibility. The OpenBlue AI platform is transforming JCI from a product/install company to a recurring-revenue smart building services provider, while data center demand for HVAC and cooling creates a powerful secular tailwind [2]. At 23.6x forward earnings with raised FY2026 guidance of ~$4.70 EPS (25% growth) and expected 100% FCF conversion, JCI offers industrial growth at a reasonable premium [1].</w:t>
      </w:r>
    </w:p>
    <w:p>
      <w:pPr>
        <w:spacing w:after="120"/>
      </w:pPr>
      <w:r>
        <w:rPr>
          <w:rFonts w:ascii="Calibri" w:hAnsi="Calibri"/>
          <w:b w:val="0"/>
          <w:color w:val="3A4A28"/>
          <w:sz w:val="20"/>
        </w:rPr>
        <w:t>The bear case centers on valuation stretch and governance lapses. Trailing P/E of 44x is expensive for a company growing revenue only 6.8% YoY, and the premium depends on sustained order-to-revenue conversion from the $18B backlog — which management notes takes 9+ months for large projects [1]. The $17.5M commission settlement with 1,800 sales reps reveals internal cultural issues that could affect talent retention in a competitive labor market [3]. The 2023 ransomware attack exposing 27TB of data from 76M households — with 22-month notification delay — represents a serious cybersecurity and governance failure for a company selling security solutions [3]. D/E of 73.3% with $9.7B total debt against only $552M cash creates balance sheet vulnerability if the growth thesis stalls. Revenue growth CAGR of approximately 4% over five years suggests the transformation is still early innings, and the 1.26% dividend yield provides minimal income support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$18B backlog (up 20%) with Americas orders surging 56% provides multi-year revenue visibility and supports the raised FY2026 EPS guidance of ~$4.70 (25% growth)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creating secular demand for JCI's HVAC, cooling, and fire safety systems — management describes data centers as a 'powerful secular tailwind' independent of cyclical pressures [2]</w:t>
      </w:r>
    </w:p>
    <w:p>
      <w:pPr>
        <w:spacing w:before="40" w:after="40"/>
        <w:ind w:left="283"/>
      </w:pPr>
      <w:r>
        <w:rPr>
          <w:rFonts w:ascii="Calibri" w:hAnsi="Calibri"/>
          <w:b/>
          <w:color w:val="4A6B25"/>
          <w:sz w:val="20"/>
        </w:rPr>
        <w:t xml:space="preserve">3. </w:t>
      </w:r>
      <w:r>
        <w:rPr>
          <w:rFonts w:ascii="Calibri" w:hAnsi="Calibri"/>
          <w:b w:val="0"/>
          <w:color w:val="3A4A28"/>
          <w:sz w:val="20"/>
        </w:rPr>
        <w:t>OpenBlue AI platform driving business model shift toward higher-margin, recurring service revenue with outcome-based contracts — two executives recognized on Constellation Research AI 150 list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Cybersecurity governance failure — 2023 ransomware attack exposed 27TB of data affecting 76M households with 22-month notification delay, creating legal liability and reputational risk for a security solutions provider [3]</w:t>
      </w:r>
    </w:p>
    <w:p>
      <w:pPr>
        <w:spacing w:before="40" w:after="40"/>
        <w:ind w:left="283"/>
      </w:pPr>
      <w:r>
        <w:rPr>
          <w:rFonts w:ascii="Calibri" w:hAnsi="Calibri"/>
          <w:b/>
          <w:color w:val="4A6B25"/>
          <w:sz w:val="20"/>
        </w:rPr>
        <w:t xml:space="preserve">2. </w:t>
      </w:r>
      <w:r>
        <w:rPr>
          <w:rFonts w:ascii="Calibri" w:hAnsi="Calibri"/>
          <w:b w:val="0"/>
          <w:color w:val="3A4A28"/>
          <w:sz w:val="20"/>
        </w:rPr>
        <w:t>$17.5M commission settlement with 1,800 sales reps signals internal cultural and compensation issues that could affect salesforce retention and customer relationships [3]</w:t>
      </w:r>
    </w:p>
    <w:p>
      <w:pPr>
        <w:spacing w:before="40" w:after="40"/>
        <w:ind w:left="283"/>
      </w:pPr>
      <w:r>
        <w:rPr>
          <w:rFonts w:ascii="Calibri" w:hAnsi="Calibri"/>
          <w:b/>
          <w:color w:val="4A6B25"/>
          <w:sz w:val="20"/>
        </w:rPr>
        <w:t xml:space="preserve">3. </w:t>
      </w:r>
      <w:r>
        <w:rPr>
          <w:rFonts w:ascii="Calibri" w:hAnsi="Calibri"/>
          <w:b w:val="0"/>
          <w:color w:val="3A4A28"/>
          <w:sz w:val="20"/>
        </w:rPr>
        <w:t>Elevated valuation at 44x trailing P/E with only 6.8% revenue growth depends on sustained backlog conversion and margin expansion — any execution miss risks significant multiple compression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JCI's core business — designing, installing, and servicing physical HVAC, fire safety, and security systems in commercial buildings — requires physical-world infrastructure that AI cannot replace [2]. The $18B record backlog is driven by data center construction, which is itself fueled by AI demand — making JCI a direct beneficiary of AI infrastructure buildout. Buildings will always need heating, cooling, and fire protection regardless of AI advancement. However, some diagnostic and monitoring services could face AI-enabled competition from pure-software building analytics companies. AI Opportunity (1/1): The OpenBlue platform generates quantifiable AI-related revenue through smart building analytics, predictive maintenance, and energy optimization services. Two JCI executives were recognized on the Constellation Research AI 150 list, and the company is actively monetizing AI through outcome-based recurring service contracts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Johnson Controls Q1 FY2026 Earnings — $5.8B revenue, 40% order growth, $18B backlog, raised FY2026 guidance to ~$4.70 EPS, February 4, 2026</w:t>
      </w:r>
    </w:p>
    <w:p>
      <w:pPr>
        <w:spacing w:before="20" w:after="20"/>
        <w:ind w:left="170"/>
      </w:pPr>
      <w:r>
        <w:rPr>
          <w:rFonts w:ascii="Calibri" w:hAnsi="Calibri"/>
          <w:b/>
          <w:color w:val="4A6B25"/>
          <w:sz w:val="15"/>
        </w:rPr>
        <w:t xml:space="preserve">2. </w:t>
      </w:r>
      <w:r>
        <w:rPr>
          <w:rFonts w:ascii="Calibri" w:hAnsi="Calibri"/>
          <w:b w:val="0"/>
          <w:color w:val="3A4A28"/>
          <w:sz w:val="17"/>
        </w:rPr>
        <w:t>Johnson Controls AI Strategy — OpenBlue platform, JADEC innovation lab, Constellation Research AI 150, data center positioning, Microsoft/Accenture partnerships</w:t>
      </w:r>
    </w:p>
    <w:p>
      <w:pPr>
        <w:spacing w:before="20" w:after="20"/>
        <w:ind w:left="170"/>
      </w:pPr>
      <w:r>
        <w:rPr>
          <w:rFonts w:ascii="Calibri" w:hAnsi="Calibri"/>
          <w:b/>
          <w:color w:val="4A6B25"/>
          <w:sz w:val="15"/>
        </w:rPr>
        <w:t xml:space="preserve">3. </w:t>
      </w:r>
      <w:r>
        <w:rPr>
          <w:rFonts w:ascii="Calibri" w:hAnsi="Calibri"/>
          <w:b w:val="0"/>
          <w:color w:val="3A4A28"/>
          <w:sz w:val="17"/>
        </w:rPr>
        <w:t>Johnson Controls ESG &amp; Controversies — net-zero 2040 commitment, $17.5M commission settlement, 2023 ransomware data breach (76M households),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JCI,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