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JEF</w:t>
      </w:r>
      <w:r>
        <w:rPr>
          <w:rFonts w:ascii="Calibri" w:hAnsi="Calibri"/>
          <w:b/>
          <w:color w:val="1A2010"/>
          <w:sz w:val="40"/>
        </w:rPr>
        <w:t xml:space="preserve">  Jefferies Financial Group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2026-04-11 · Inspire: 33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Capital Markets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Jefferies Financial Group is a diversified investment banking and capital markets firm operating across the Americas, Europe, the Middle East, and Asia-Pacific. The company provides investment banking advisory, equity and debt underwriting, securities trading, prime brokerage, wealth management, and alternative asset management services. Founded in 1962, Jefferies has grown into a mid-tier global investment bank with approximately $5.4 billion in annual net revenues.</w:t>
      </w:r>
    </w:p>
    <w:p>
      <w:r>
        <w:rPr>
          <w:rFonts w:ascii="Calibri" w:hAnsi="Calibri"/>
          <w:b/>
          <w:color w:val="6E8450"/>
          <w:sz w:val="18"/>
        </w:rPr>
        <w:t>7,596 Employees · https://www.jefferies.com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Jefferies executed a transformative pivot from Leucadia National Corporation (diversified holding company with investments in beef, mining, and telecom) into a pure-play investment bank in 2018, and has since gained meaningful market share — Q1 FY2026 investment banking revenues surged 45% YoY to $1.02B on advisory and equity underwriting strength [1][2]. AI Deployment (0/2): No evidence of AI-powered products shipping to clients or quantified AI-driven efficiency gains. Pipeline (0/2): No specific next-generation products or platforms with named timelines; growth is driven by cyclical dealflow rather than product innovation. Market Share Leadership (1/2): Gaining share in mid-market investment banking with consistent outperformance vs. peers, but not a category leader or definer. R&amp;D Intensity (0/1): Financial services firms lack traditional R&amp;D; technology investment exists but is not disclosed or benchmarked.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Jefferies articulates a mission to 'foster a culture of innovation, operational excellence, and compliance, while enhancing client relationships and maximizing shareholder value' — generic corporate language interchangeable with any Wall Street firm [3]. Community &amp; Charitable Impact (0/2): Published sustainability reports and purchased carbon offsets, but no evidence of distinctive charitable programs, foundation work, or community investment with specific dollar amounts [4]. Employee Retention (0/2): No specific retention or tenure data available beyond the 3.9/5 Glassdoor rating; the investment banking industry is characterized by high turnover by nature. Insider Buying (0/2): No evidence of meaningful net insider buying by CEO Richard Handler or other executives in the past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Infrastructure benefits from exceptional dividend metrics and strong revenue momentum. Dividend growth has been outstanding — 22.8% 5-year CAGR with 6 consecutive years of increases and 17 years of uninterrupted payments [5]. Revenue growth is robust at 26.6% YoY in Q1 FY2026, profit margins are strong at 23%, and forward P/E of 10.3x is well below target [1][2]. Primary weakness is the extreme D/E ratio of 344% (above the 300% floor), which is structural for financial firms reliant on balance-sheet leverage but scores zero mechanically. ROE of 6.8% is below the 15% target, reflecting the large equity base typical of regulated financial institutions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Jefferies operates with a predominantly finite mindset typical of Wall Street firms. While CEO Richard Handler's 25-year tenure provides leadership stability and the Leucadia-to-Jefferies transformation showed strategic flexibility, the company's articulated purpose centers on shareholder value maximization and competitive market share gains rather than a cause larger than itself.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Jefferies's stated mission revolves around client relationships, operational excellence, and shareholder value — finite objectives with no articulated vision of a better future beyond the company's own success [3]. There is no Just Cause that would inspire sacrifice or attract people to a movement larger than quarterly earnings. Leadership commentary consistently frames success in terms of market share gains, revenue growth, and competitive positioning against rival banks.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Moderate trust indicators. CEO Richard Handler has led since 2001 (25+ years), providing exceptional leadership continuity rarely seen in investment banking [3]. Employee reviews indicate a generally positive culture (3.9/5 Glassdoor, 72% would recommend), though the investment banking industry's structural features — long hours, up-or-out promotion, and high turnover — limit the ability to build deep organizational trust [7]. No evidence of exceptional empowerment or psychological safety beyond industry norms.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Jefferies frames its competitive position in finite terms — celebrating market share gains ('IB revenues up 45%'), outperformance metrics, and competitive wins against larger banks [1][2]. No evidence of management acknowledging worthy rivals whose strengths drive self-improvement. The competitive language is consistently about winning share from Goldman Sachs and Morgan Stanley rather than learning from their capabilities.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Jefferies demonstrated meaningful strategic flexibility through the Leucadia National transformation. The 2018 name change reflected a multi-year pivot from a diversified conglomerate (beef processing, mining, telecom assets) into a focused investment bank and capital markets firm [3]. This restructuring required divesting legacy businesses and concentrating resources on financial services — a genuine strategic shift, though incremental rather than a single bold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Handler navigated Jefferies through the 2008 financial crisis when the firm was under severe pressure and rumored to be a potential casualty, choosing to maintain independence rather than sell. The Leucadia merger in 2012 and subsequent refocusing on investment banking required walking away from diversified assets that generated reliable income [3]. Recent decisions to increase the quarterly dividend from $0.30 to $0.40 (33% increase) amid uncertain markets demonstrates some conviction in forward earnings power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Jefferies offers compelling value as a mid-tier investment bank trading at just 10.3x forward earnings with a 3.5% dividend yield growing at 22.8% CAGR over five years. Q1 FY2026 results demonstrated powerful operating leverage with IB revenues up 45% YoY to $1.02B and equities trading up 37%, indicating sustained market share gains in both advisory and capital markets [1][2]. The forward P/E discount to peers (Goldman ~13x, Morgan Stanley ~14x) provides upside if Jefferies continues closing the market share gap.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Jefferies's extreme leverage (D/E 344%) which magnifies both upside and downside — a capital markets downturn or credit market dislocation could compress earnings rapidly, as seen when net income fell from $785M in FY2022 to $278M in FY2023 (64% decline) [6]. ROE of only 6.8% on a massive equity base of $10.6B suggests the firm is not generating adequate returns on its capital relative to the leverage it carries. The payout ratio of 53.7% leaves limited margin for error if earnings decline, and the mid-tier positioning creates vulnerability to AI-driven commoditization of research and analytics services that larger competitors can absorb.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investment banking market share gains — Q1 FY2026 advisory and equity underwriting revenues surged 45% YoY, suggesting momentum in winning mandates from bulge-bracket competitors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M&amp;A cycle acceleration as pent-up private equity deal activity normalizes, potentially driving sustained double-digit IB revenue growth through FY2026-2027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Dividend growth trajectory — 33% increase to $0.40/quarter in FY2025 with 22.8% 5-year CAGR signals management confidence in durable earnings improvement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Capital markets cyclicality — net income collapsed 64% from $785M (FY2022) to $278M (FY2023) during the IB drought, demonstrating extreme earnings volatility inherent to the business model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Structural leverage of 344% D/E amplifies downside in credit market dislocations; financial firms with this leverage profile face existential risk during systemic crises without central bank support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AI-driven commoditization of equities research, trading analytics, and back-office operations could erode mid-tier differentiation as larger competitors deploy AI at scale to reduce costs and capture flow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Jefferies's core investment banking advisory business is relationship-driven and protected by deep client trust, regulatory complexity, and the judgment-intensive nature of M&amp;A structuring and capital raising [2]. However, portions of the capital markets business — particularly equities research, trade execution algorithms, and back-office operations — face meaningful automation potential from AI tools already deployed by larger competitors like Goldman Sachs and JPMorgan. The mid-tier positioning creates additional risk as AI-powered platforms could commoditize research and analytics that differentiate Jefferies from discount brokers. AI Opportunity (0/1): No evidence of quantifiable AI-related revenue streams. While Jefferies likely uses technology in trading operations, no specific AI products or services generating revenue have been disclosed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Jefferies Financial Group Q1 FY2026 Earnings Release,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Jefferies Financial Group 10-Q Quarterly Report, Q1 FY2026 — $2.87B Net Revenue, $0.70 Diluted EPS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Jefferies Financial Group Corporate Website — Governance, Leadership, and Mission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Jefferies 2024 Sustainability Report, March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JEF Dividend History and Key Statistics,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— JEF Income Statement and Balance Sheet,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Glassdoor — Jefferies Reviews (1,258 reviews, 3.9/5 rating)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