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JEM</w:t>
      </w:r>
      <w:r>
        <w:rPr>
          <w:rFonts w:ascii="Calibri" w:hAnsi="Calibri"/>
          <w:b/>
          <w:color w:val="1A2010"/>
          <w:sz w:val="40"/>
        </w:rPr>
        <w:t xml:space="preserve">  707 Cayman Holdings Limited</w:t>
      </w:r>
    </w:p>
    <w:p>
      <w:pPr>
        <w:spacing w:after="120"/>
      </w:pPr>
      <w:r>
        <w:rPr>
          <w:rFonts w:ascii="Calibri" w:hAnsi="Calibri"/>
          <w:b/>
          <w:color w:val="6E8450"/>
          <w:sz w:val="18"/>
        </w:rPr>
        <w:t>GROWTH SLEEVE · 2026-03-27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NASDAQ · Hong Kong</w:t>
      </w:r>
    </w:p>
    <w:p>
      <w:pPr>
        <w:spacing w:after="80"/>
      </w:pPr>
      <w:r>
        <w:rPr>
          <w:rFonts w:ascii="Calibri" w:hAnsi="Calibri"/>
          <w:b w:val="0"/>
          <w:color w:val="3A4A28"/>
          <w:sz w:val="20"/>
        </w:rPr>
        <w:t>707 Cayman Holdings is a Hong Kong-based holding company that sells and distributes fashion apparel products in Hong Kong, Western Europe, North America, the Middle East, and internationally. The company IPO'd on Nasdaq in June 2025 at $4.00 per share and has since declined over 97%.</w:t>
      </w:r>
    </w:p>
    <w:p>
      <w:r>
        <w:rPr>
          <w:rFonts w:ascii="Calibri" w:hAnsi="Calibri"/>
          <w:b/>
          <w:color w:val="6E8450"/>
          <w:sz w:val="18"/>
        </w:rPr>
        <w:t>https://www.707limited.com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707 Cayman operates a traditional apparel distribution business with no meaningful technology differentiation, R&amp;D investment, or product innovation pipeline [1]. The company's business model of reselling third-party fashion brands through wholesale and retail channels offers no competitive moat or pricing power. Revenue of $13.7M TTM and operating losses of -37.5% margin suggest a business struggling to achieve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provides minimal public information about leadership, culture, or mission beyond basic commercial operations [1]. With no disclosed employee count, limited corporate communications, and a stock that has fallen 97% from IPO price, there is no evidence of an inspiring organizational purpose or leadership vision. The Nasdaq delisting warning (October 2025) further erodes stakeholder confidence.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TRIGGERED: Average daily volume of 9,807,459 multiplied by stock price of $0.11 equals approximately $1.08M, which barely exceeds the $1M threshold. However, the fundamental metrics are dire: negative profit margin of -38.3%, negative ROE of -133.4%, D/E of 7.8%, and revenue of just $13.7M TTM [1]. The company faces Nasdaq delisting risk with share price below $1.00 since October 2025, and the $1.9M market cap reflects near-terminal valuation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707 Cayman exhibits purely finite-game behavior, focused on survival rather than long-term value creation. The company is exploring dilutive equity financing through a 48.75M share resale registration while facing delisting, suggesting capital preservation rather than strategic vision. There is no evidence of a long-term competitive strategy or enduring organizational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articulated mission beyond commercial apparel distribution. The company's post-IPO collapse from $4.00 to $0.11 and dilutive share registration suggest management priorities centered on financial survival rather than customer or societal value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employee investment, culture building, or organizational development. The company does not disclose employee count, and the rapid stock price deterioration likely undermines any team cohesion or retention capability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 $1.9M market cap and $13.7M revenue, 707 Cayman is not competitive with any meaningful apparel distribution or retail company. The business lacks the scale, brand, or technology to compete meaningfully in its industry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filed an F-1 registration for 48.75M shares — a massive potential dilution relative to its tiny float — suggesting a focus on capital raising rather than strategic reinvention [1]. No pivots or strategic alternatives have been publicly disclosed.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bold leadership decisions or strategic courage. The IPO pricing at $4.00 that immediately deteriorated suggests either poor capital allocation or misalignment between management and public market expectations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bull case for 707 Cayman Holdings at current levels. The company operates a subscale apparel distribution business with $13.7M in TTM revenue, negative -38.3% profit margins, and a $1.9M market cap that is below the cash value of many micro-cap shells [1]. Revenue growth of 23.5% YoY (from HK$87.7M to HK$106.9M) is the sole positive data point, but at unprofitable scale with no path to breakeven.</w:t>
      </w:r>
    </w:p>
    <w:p>
      <w:pPr>
        <w:spacing w:after="120"/>
      </w:pPr>
      <w:r>
        <w:rPr>
          <w:rFonts w:ascii="Calibri" w:hAnsi="Calibri"/>
          <w:b w:val="0"/>
          <w:color w:val="3A4A28"/>
          <w:sz w:val="20"/>
        </w:rPr>
        <w:t>The risks are overwhelming — the company faces imminent Nasdaq delisting (compliance deadline April 15, 2026), has filed for a massively dilutive 48.75M share offering through Hudson Global Ventures, and operates in a commoditized industry with no competitive advantages [1]. The 97% decline from IPO price, negative $5.3M TTM net income on $13.7M revenue, and Hong Kong-based operations with limited U.S. investor protections make this stock unsuitable for any investment portfolio [2]. The current ratio of 2.81 provides modest liquidity comfort, but operating cash flow of -$1.3M confirms ongoing cash burn.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reverse stock split to regain Nasdaq compliance by April 15, 2026 deadline, though this would not address fundamental business deterioration [1]</w:t>
      </w:r>
    </w:p>
    <w:p>
      <w:pPr>
        <w:spacing w:before="40" w:after="40"/>
        <w:ind w:left="283"/>
      </w:pPr>
      <w:r>
        <w:rPr>
          <w:rFonts w:ascii="Calibri" w:hAnsi="Calibri"/>
          <w:b/>
          <w:color w:val="4A6B25"/>
          <w:sz w:val="20"/>
        </w:rPr>
        <w:t xml:space="preserve">2. </w:t>
      </w:r>
      <w:r>
        <w:rPr>
          <w:rFonts w:ascii="Calibri" w:hAnsi="Calibri"/>
          <w:b w:val="0"/>
          <w:color w:val="3A4A28"/>
          <w:sz w:val="20"/>
        </w:rPr>
        <w:t>Revenue growth from new distribution agreements or geographic expansion, though the company has not disclosed any strategic pipeline [1]</w:t>
      </w:r>
    </w:p>
    <w:p>
      <w:pPr>
        <w:spacing w:before="40" w:after="40"/>
        <w:ind w:left="283"/>
      </w:pPr>
      <w:r>
        <w:rPr>
          <w:rFonts w:ascii="Calibri" w:hAnsi="Calibri"/>
          <w:b/>
          <w:color w:val="4A6B25"/>
          <w:sz w:val="20"/>
        </w:rPr>
        <w:t xml:space="preserve">3. </w:t>
      </w:r>
      <w:r>
        <w:rPr>
          <w:rFonts w:ascii="Calibri" w:hAnsi="Calibri"/>
          <w:b w:val="0"/>
          <w:color w:val="3A4A28"/>
          <w:sz w:val="20"/>
        </w:rPr>
        <w:t>Acquisition by or merger with a larger apparel company seeking the Nasdaq listing shell, which represents the most realistic path to shareholder value recovery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Nasdaq delisting if the stock fails to trade above $1.00 for 10 consecutive trading days before April 15, 2026, which would eliminate institutional access and further collapse liquidity [1]</w:t>
      </w:r>
    </w:p>
    <w:p>
      <w:pPr>
        <w:spacing w:before="40" w:after="40"/>
        <w:ind w:left="283"/>
      </w:pPr>
      <w:r>
        <w:rPr>
          <w:rFonts w:ascii="Calibri" w:hAnsi="Calibri"/>
          <w:b/>
          <w:color w:val="4A6B25"/>
          <w:sz w:val="20"/>
        </w:rPr>
        <w:t xml:space="preserve">2. </w:t>
      </w:r>
      <w:r>
        <w:rPr>
          <w:rFonts w:ascii="Calibri" w:hAnsi="Calibri"/>
          <w:b w:val="0"/>
          <w:color w:val="3A4A28"/>
          <w:sz w:val="20"/>
        </w:rPr>
        <w:t>Dilution from the 48.75M share registration statement could increase the share count by multiples of the current float, destroying per-share value for existing holders [1]</w:t>
      </w:r>
    </w:p>
    <w:p>
      <w:pPr>
        <w:spacing w:before="40" w:after="40"/>
        <w:ind w:left="283"/>
      </w:pPr>
      <w:r>
        <w:rPr>
          <w:rFonts w:ascii="Calibri" w:hAnsi="Calibri"/>
          <w:b/>
          <w:color w:val="4A6B25"/>
          <w:sz w:val="20"/>
        </w:rPr>
        <w:t xml:space="preserve">3. </w:t>
      </w:r>
      <w:r>
        <w:rPr>
          <w:rFonts w:ascii="Calibri" w:hAnsi="Calibri"/>
          <w:b w:val="0"/>
          <w:color w:val="3A4A28"/>
          <w:sz w:val="20"/>
        </w:rPr>
        <w:t>Going concern risk with -$1.3M operating cash flow, no disclosed path to profitability, and dependence on external capital raises to fund ongoing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poses a meaningful threat to traditional apparel distribution as e-commerce platforms use AI-driven personalization, virtual try-on, and direct-to-consumer models to disintermediate middlemen [1]. 707 Cayman has no AI capabilities and operates a commodity distribution model with no technological defense against AI-enabled competitors. The company's lack of digital infrastructure makes it vulnerable to further margin compression from AI-optimized supply chains.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707 Cayman Holdings SEC Filings (Form 20-F, Form F-1, Form 6-K), 2025-2026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JEM stock data and financial statements,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