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JFR</w:t>
      </w:r>
      <w:r>
        <w:rPr>
          <w:rFonts w:ascii="Calibri" w:hAnsi="Calibri"/>
          <w:b/>
          <w:color w:val="1A2010"/>
          <w:sz w:val="40"/>
        </w:rPr>
        <w:t xml:space="preserve">  Nuveen Floating Rate Income Fund</w:t>
      </w:r>
    </w:p>
    <w:p>
      <w:pPr>
        <w:spacing w:after="120"/>
      </w:pPr>
      <w:r>
        <w:rPr>
          <w:rFonts w:ascii="Calibri" w:hAnsi="Calibri"/>
          <w:b/>
          <w:color w:val="6E8450"/>
          <w:sz w:val="18"/>
        </w:rPr>
        <w:t>DIVIDEND SLEEVE · 2026-05-06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Nuveen Floating Rate Income Fund is a closed-end fixed income mutual fund launched by Nuveen Investments, Inc. and co-managed by Nuveen Fund Advisors LLC and Symphony Asset Management LLC. The fund invests primarily in adjustable rate secured and unsecured senior loans in U.S. fixed income markets.</w:t>
      </w:r>
    </w:p>
    <w:p>
      <w:r>
        <w:rPr>
          <w:rFonts w:ascii="Calibri" w:hAnsi="Calibri"/>
          <w:b/>
          <w:color w:val="6E8450"/>
          <w:sz w:val="18"/>
        </w:rPr>
        <w:t>https://www.nuveen.com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JFR is a closed-end fund (CEF) that passively pools leveraged senior loan exposure — it does not develop products, hold patents, or deploy R&amp;D [1]. The fund's strategy has remained essentially unchanged since its 2004 launch, with no meaningful innovation in portfolio construction or distribution technology [2]. Market share within the floating-rate CEF space is modest and declining as ETFs like SRLN and BKLN draw capital away from the closed-end wrapper.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fund's mission is narrowly defined as income generation through senior loan exposure, lacking any broader purpose or societal impact [1]. As a Nuveen-managed vehicle, it benefits from TIAA's institutional brand but has no standalone culture, employee base, or community engagement. Insider buying data is not applicable to a CEF structure, and unitholder loyalty is driven purely by yield rather than mission alignment.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is bolstered by low leverage (D/E 38%) well within thresholds, strong profit margins at 44.5%, and 22 consecutive years of dividend payments since inception in 2004 [2]. The 5-year dividend growth CAGR of 10.7% is robust, though the recent distribution cut from $0.085 to $0.078/month in March 2026 signals pressure from declining floating rates [1]. ROE of 6.1% remains weak for a leveraged income vehicle, and the payout ratio of ~300% (EPS basis) reflects the CEF reality of paying from total return rather than earnings alone.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As a closed-end fund, JFR operates with an inherently finite orientation — it exists to generate monthly income, not to advance a transformative mission. The fund lacks the organizational attributes (independent culture, leadership vision, competitive adaptation) that characterize infinite-game players.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JFR's purpose is purely transactional: deliver leveraged floating-rate income to unitholders. There is no just cause beyond capital allocation, no articulated vision for transforming credit markets or improving access to financial services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 an externally managed CEF, JFR has no employees or internal team culture. Portfolio management is outsourced to Symphony Asset Management, and fund governance operates through a board of trustees with limited transparency into team dynamics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JFR faces significant competitive pressure from lower-cost ETF alternatives (BKLN, SRLN) and other CEFs (EFR, BGT) but has not meaningfully adapted its strategy or fee structure in response, suggesting a fortress-defense rather than rival-learning mentality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fund has shown some adaptability by adjusting leverage levels and distribution rates in response to changing rate environments — cutting from $0.085 to $0.078/month in 2026 as floating rates declined [1]. However, these are reactive adjustments rather than strategic pivots.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Fund management has not demonstrated courage to lead in the CEF space — no fee reductions, no share buyback programs to address the persistent NAV discount, and no innovation in portfolio construction methodology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JFR offers an attractive 12.5% distribution yield backed by a diversified portfolio of senior secured floating-rate loans, providing natural interest rate protection in rising-rate environments [1]. The fund's 22-year track record of continuous distributions, low leverage at 38% D/E, and Nuveen/TIAA institutional backing provide a stable income platform. The current discount to NAV offers a margin of safety, and the senior secured positioning of underlying loans provides priority recovery in default scenarios [2].</w:t>
      </w:r>
    </w:p>
    <w:p>
      <w:pPr>
        <w:spacing w:after="120"/>
      </w:pPr>
      <w:r>
        <w:rPr>
          <w:rFonts w:ascii="Calibri" w:hAnsi="Calibri"/>
          <w:b w:val="0"/>
          <w:color w:val="3A4A28"/>
          <w:sz w:val="20"/>
        </w:rPr>
        <w:t>The bear case centers on the recent distribution cut (March 2026) signaling that declining floating rates are compressing net investment income, with further cuts possible if the Fed eases policy [1]. The 300% EPS-based payout ratio is unsustainable without capital gains, and the closed-end structure faces secular headwinds from lower-cost ETF alternatives. Credit quality deterioration in leveraged loans — particularly in sponsor-backed LBOs — poses tail risk, and the fund's external management structure creates misaligned incentives on fees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Fed rate stabilization or increases would immediately boost net investment income and support distribution levels</w:t>
      </w:r>
    </w:p>
    <w:p>
      <w:pPr>
        <w:spacing w:before="40" w:after="40"/>
        <w:ind w:left="283"/>
      </w:pPr>
      <w:r>
        <w:rPr>
          <w:rFonts w:ascii="Calibri" w:hAnsi="Calibri"/>
          <w:b/>
          <w:color w:val="4A6B25"/>
          <w:sz w:val="20"/>
        </w:rPr>
        <w:t xml:space="preserve">2. </w:t>
      </w:r>
      <w:r>
        <w:rPr>
          <w:rFonts w:ascii="Calibri" w:hAnsi="Calibri"/>
          <w:b w:val="0"/>
          <w:color w:val="3A4A28"/>
          <w:sz w:val="20"/>
        </w:rPr>
        <w:t>Attractive entry point if NAV discount widens beyond historical averages, creating value opportunity</w:t>
      </w:r>
    </w:p>
    <w:p>
      <w:pPr>
        <w:spacing w:before="40" w:after="40"/>
        <w:ind w:left="283"/>
      </w:pPr>
      <w:r>
        <w:rPr>
          <w:rFonts w:ascii="Calibri" w:hAnsi="Calibri"/>
          <w:b/>
          <w:color w:val="4A6B25"/>
          <w:sz w:val="20"/>
        </w:rPr>
        <w:t xml:space="preserve">3. </w:t>
      </w:r>
      <w:r>
        <w:rPr>
          <w:rFonts w:ascii="Calibri" w:hAnsi="Calibri"/>
          <w:b w:val="0"/>
          <w:color w:val="3A4A28"/>
          <w:sz w:val="20"/>
        </w:rPr>
        <w:t>Potential for Nuveen to implement share repurchase program to address persistent NAV discount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Fed rate cuts could compress floating-rate income and force additional distribution reductions</w:t>
      </w:r>
    </w:p>
    <w:p>
      <w:pPr>
        <w:spacing w:before="40" w:after="40"/>
        <w:ind w:left="283"/>
      </w:pPr>
      <w:r>
        <w:rPr>
          <w:rFonts w:ascii="Calibri" w:hAnsi="Calibri"/>
          <w:b/>
          <w:color w:val="4A6B25"/>
          <w:sz w:val="20"/>
        </w:rPr>
        <w:t xml:space="preserve">2. </w:t>
      </w:r>
      <w:r>
        <w:rPr>
          <w:rFonts w:ascii="Calibri" w:hAnsi="Calibri"/>
          <w:b w:val="0"/>
          <w:color w:val="3A4A28"/>
          <w:sz w:val="20"/>
        </w:rPr>
        <w:t>Credit cycle deterioration in leveraged loans could lead to increased defaults and NAV erosion</w:t>
      </w:r>
    </w:p>
    <w:p>
      <w:pPr>
        <w:spacing w:before="40" w:after="40"/>
        <w:ind w:left="283"/>
      </w:pPr>
      <w:r>
        <w:rPr>
          <w:rFonts w:ascii="Calibri" w:hAnsi="Calibri"/>
          <w:b/>
          <w:color w:val="4A6B25"/>
          <w:sz w:val="20"/>
        </w:rPr>
        <w:t xml:space="preserve">3. </w:t>
      </w:r>
      <w:r>
        <w:rPr>
          <w:rFonts w:ascii="Calibri" w:hAnsi="Calibri"/>
          <w:b w:val="0"/>
          <w:color w:val="3A4A28"/>
          <w:sz w:val="20"/>
        </w:rPr>
        <w:t>Secular shift from CEF to ETF wrappers may persistently widen the NAV discount and reduce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Senior floating-rate loans are fundamentally a credit-underwriting business where AI can enhance but not replace the value chain [1]. AI-driven credit analytics and automated loan pricing could modestly improve portfolio selection, but the fund's exposure is to broadly syndicated loans where human relationship networks remain critical. The primary risk is that AI-powered ETF platforms further erode the CEF wrapper's appeal by offering cheaper, more transparent access to the same asset class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Yahoo Finance — JFR key statistics and financial data, accessed May 2026</w:t>
      </w:r>
    </w:p>
    <w:p>
      <w:pPr>
        <w:spacing w:before="20" w:after="20"/>
        <w:ind w:left="170"/>
      </w:pPr>
      <w:r>
        <w:rPr>
          <w:rFonts w:ascii="Calibri" w:hAnsi="Calibri"/>
          <w:b/>
          <w:color w:val="4A6B25"/>
          <w:sz w:val="15"/>
        </w:rPr>
        <w:t xml:space="preserve">2. </w:t>
      </w:r>
      <w:r>
        <w:rPr>
          <w:rFonts w:ascii="Calibri" w:hAnsi="Calibri"/>
          <w:b w:val="0"/>
          <w:color w:val="3A4A28"/>
          <w:sz w:val="17"/>
        </w:rPr>
        <w:t>Nuveen Floating Rate Income Fund annual report and distribution history,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