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JHG</w:t>
      </w:r>
      <w:r>
        <w:rPr>
          <w:rFonts w:ascii="Calibri" w:hAnsi="Calibri"/>
          <w:b/>
          <w:color w:val="1A2010"/>
          <w:sz w:val="40"/>
        </w:rPr>
        <w:t xml:space="preserve">  Janus Henderson Group plc</w:t>
      </w:r>
    </w:p>
    <w:p>
      <w:pPr>
        <w:spacing w:after="120"/>
      </w:pPr>
      <w:r>
        <w:rPr>
          <w:rFonts w:ascii="Calibri" w:hAnsi="Calibri"/>
          <w:b/>
          <w:color w:val="6E8450"/>
          <w:sz w:val="18"/>
        </w:rPr>
        <w:t>DIVIDEND SLEEVE · 2026-04-10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Kingdom</w:t>
      </w:r>
    </w:p>
    <w:p>
      <w:pPr>
        <w:spacing w:after="80"/>
      </w:pPr>
      <w:r>
        <w:rPr>
          <w:rFonts w:ascii="Calibri" w:hAnsi="Calibri"/>
          <w:b w:val="0"/>
          <w:color w:val="3A4A28"/>
          <w:sz w:val="20"/>
        </w:rPr>
        <w:t>Janus Henderson Group plc is a global asset management firm providing investment solutions to institutional, retail, and high-net-worth clients. Through its subsidiaries, the firm manages equity, fixed income, multi-asset, and alternative strategies with approximately $382B in AUM. Founded in 1934, the company is headquartered in London with offices across North America, Europe, and Asia-Pacific.</w:t>
      </w:r>
    </w:p>
    <w:p>
      <w:r>
        <w:rPr>
          <w:rFonts w:ascii="Calibri" w:hAnsi="Calibri"/>
          <w:b/>
          <w:color w:val="6E8450"/>
          <w:sz w:val="18"/>
        </w:rPr>
        <w:t>2,328 Employees · https://www.janushenderson.com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Janus Henderson completed the acquisition of Victory Park Capital's CLO business and Tabula Investment Management in 2024-2025, expanding into private credit and European ETFs, but these are bolt-on acquisitions rather than transformative pivots [1]. Revenue surged 25% in FY2025 to $3.1B, partially driven by market appreciation and inflows [1]. AI Deployment (1/2): The firm has begun integrating AI tools into portfolio analytics and client servicing, and activist investor Trian Fund Management alongside General Catalyst proposed accelerating AI adoption to reverse client outflows, but no shipping AI products with measurable results yet [2]. Market Share (1/2): JHG manages approximately $382B in AUM, a meaningful but mid-tier player in global asset management — well behind BlackRock, Vanguard, and Fidelity [1]. Pipeline (1/2): Expansion into private credit and European ETFs provides adjacent growth vectors, with the Tabula acquisition giving access to the fast-growing European ETF market [1]. R&amp;D Intensity (1/1): Spending on technology and data analytics is in line with asset management peers, with a dedicated Chief Transformation Officer driving modernization efforts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Janus Henderson's stated purpose is to help clients define and achieve superior financial outcomes, and to make a positive impact on the communities in which they operate [3]. The mission is clear but not distinctive — it could apply to any asset manager. Community Impact (1/2): The firm runs the 'Brighter Future Project' encompassing ESG integration, community investment, and employee volunteer programs, but specific dollar amounts and measurable outcomes are limited in public disclosures [3]. Employee Retention (1/2): Glassdoor rating of 3.5/5.0 with 479 reviews indicates average satisfaction; employees cite benefits and career development as positives but flag senior leadership and slow pace of change as negatives [2]. Insider Buying (1/2): CEO Ali Dibadj, appointed in 2022, has acquired shares through equity compensation, but no evidence of significant open-market insider buying beyond standard grant exercises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Janus Henderson's financial profile is exceptionally strong on core metrics. D/E of just 8.2% reflects a nearly debt-free balance sheet with $1.29B cash against $505M total debt [1]. ROE of 16.2% exceeds the 15% target, and profit margin of 26.3% is well above the 20% threshold [5]. Revenue growth of 61.3% YoY (boosted by Q4 2025 including acquisition contributions) and a 3-year revenue CAGR of ~12% demonstrate solid top-line momentum [1]. Forward P/E of 10.9x is attractively valued well below the 20x target [5]. Payout ratio of 30.4% is conservative. However, dividend growth is the weak link — the quarterly dividend was flat at $0.39 from 2022 through early 2025 before a modest bump to $0.40, yielding only a 1.5% 5-year dividend growth CAGR [5]. Liquidity is ample at $157M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Janus Henderson operates with a mixed infinite/finite game mindset. The 2017 merger of Janus Capital and Henderson Group created scale, but the subsequent years have been marked by client outflows and a search for identity. CEO Ali Dibadj, appointed in 2022, has articulated a clearer strategic vision focused on diversification beyond traditional active equities, but the transformation is still early-stage and unproven through a full market cycle.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JHG's purpose — helping clients achieve superior financial outcomes — is functional but not a Just Cause in Sinek's framework (1/3 pts). It describes what the company does rather than a vision of a future state worth sacrificing for. The 'Brighter Future Project' adds an ESG and community dimension but feels bolted on rather than core to the firm's identity [3]. The post-merger identity has been in flux, making it difficult to point to a cause that has endured through multiple leadership transitions.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paint a picture of adequate but not exceptional trust (1/2 pts). Employees appreciate benefits and career development opportunities, but cite 'old-school mentality of leadership,' 'authoritarian mindset,' and slow decision-making as cultural weaknesses [2]. CEO Dibadj has brought in new leadership (Chief Transformation Officer, Chief People Officer), but reviews suggest the cultural transformation has not yet permeated the organization.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JHG demonstrates an infinite competitive mindset (1/1 pt). Rather than trying to beat BlackRock and Vanguard on scale, management has acknowledged that the firm cannot compete as a pure passive provider and is instead focusing on areas of differentiation — active equities, private credit, and multi-asset solutions [1]. The Tabula and Victory Park acquisitions reflect learning from rivals' strengths in ETFs and alternatives rather than a zero-sum competitive posture.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JHG has shown some flexibility (1/2 pts). The 2017 Janus-Henderson merger was a significant strategic move to create scale. Under Dibadj, the firm is pivoting toward private credit, ETFs, and alternatives — a meaningful shift from its legacy active equity identity [1]. However, these are incremental expansions rather than a transformative reinvention, and the core business model of fee-based asset management remains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evident (1/2 pts). Dibadj has made difficult choices including leadership changes and strategic pivots toward private credit and ETFs despite short-term costs. The firm maintained its dividend through periods of AUM decline and client outflows rather than cutting it to boost reported earnings [1]. However, the activist pressure from Trian Fund Management suggests that leadership may not be moving boldly enough on its own.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Janus Henderson delivered exceptional FY2025 results with revenue surging 25% to $3.1B and adjusted EPS of $5.23 (up 104% YoY), driven by market appreciation, net inflows, and acquisition contributions [1]. The balance sheet is pristine with D/E of just 8.2%, $1.29B in cash, and a conservative 30.4% payout ratio supporting a 3.1% dividend yield [5]. At 10.9x forward earnings, JHG trades at a significant discount to the broader market, pricing in considerable skepticism about the sustainability of recent growth. CEO Dibadj's strategic pivot into private credit (Victory Park Capital), European ETFs (Tabula), and multi-asset solutions diversifies the revenue base beyond traditional active equities, addressing the firm's historical vulnerability to passive fund migration [1].</w:t>
      </w:r>
    </w:p>
    <w:p>
      <w:pPr>
        <w:spacing w:after="120"/>
      </w:pPr>
      <w:r>
        <w:rPr>
          <w:rFonts w:ascii="Calibri" w:hAnsi="Calibri"/>
          <w:b w:val="0"/>
          <w:color w:val="3A4A28"/>
          <w:sz w:val="20"/>
        </w:rPr>
        <w:t>The bear case centers on the cyclicality and structural headwinds facing active asset management. The 61.3% YoY revenue growth is misleading — it includes a $433M spike in Q4 2025 that likely includes one-time acquisition and performance fee contributions [1]. Core organic growth in AUM has been inconsistent, with periods of net client outflows. The ongoing secular shift from active to passive management compresses fees industry-wide, and AI-powered investment tools threaten to further commoditize JHG's traditional strategies. Activist pressure from Trian Fund Management signals dissatisfaction with the pace of transformation [2]. Glassdoor reviews indicating an 'old-school' and 'authoritarian' leadership culture raise concerns about talent retention in a business where human capital IS the product [2]. Dividend growth has been essentially flat for four years, undermining the income thesis despite the attractive current yield.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Private credit expansion through Victory Park Capital acquisition, tapping the fast-growing $1.7T private credit market and diversifying beyond traditional active equity management [1]</w:t>
      </w:r>
    </w:p>
    <w:p>
      <w:pPr>
        <w:spacing w:before="40" w:after="40"/>
        <w:ind w:left="283"/>
      </w:pPr>
      <w:r>
        <w:rPr>
          <w:rFonts w:ascii="Calibri" w:hAnsi="Calibri"/>
          <w:b/>
          <w:color w:val="4A6B25"/>
          <w:sz w:val="20"/>
        </w:rPr>
        <w:t xml:space="preserve">2. </w:t>
      </w:r>
      <w:r>
        <w:rPr>
          <w:rFonts w:ascii="Calibri" w:hAnsi="Calibri"/>
          <w:b w:val="0"/>
          <w:color w:val="3A4A28"/>
          <w:sz w:val="20"/>
        </w:rPr>
        <w:t>European ETF growth via Tabula Investment Management, positioning JHG in the fastest-growing segment of European asset management [1]</w:t>
      </w:r>
    </w:p>
    <w:p>
      <w:pPr>
        <w:spacing w:before="40" w:after="40"/>
        <w:ind w:left="283"/>
      </w:pPr>
      <w:r>
        <w:rPr>
          <w:rFonts w:ascii="Calibri" w:hAnsi="Calibri"/>
          <w:b/>
          <w:color w:val="4A6B25"/>
          <w:sz w:val="20"/>
        </w:rPr>
        <w:t xml:space="preserve">3. </w:t>
      </w:r>
      <w:r>
        <w:rPr>
          <w:rFonts w:ascii="Calibri" w:hAnsi="Calibri"/>
          <w:b w:val="0"/>
          <w:color w:val="3A4A28"/>
          <w:sz w:val="20"/>
        </w:rPr>
        <w:t>Potential activist-driven transformation as Trian Fund Management pushes for accelerated AI adoption and operational efficiency improvements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active-to-passive migration continues to compress management fees and drive net outflows from JHG's core active equity and fixed income strategies [1]</w:t>
      </w:r>
    </w:p>
    <w:p>
      <w:pPr>
        <w:spacing w:before="40" w:after="40"/>
        <w:ind w:left="283"/>
      </w:pPr>
      <w:r>
        <w:rPr>
          <w:rFonts w:ascii="Calibri" w:hAnsi="Calibri"/>
          <w:b/>
          <w:color w:val="4A6B25"/>
          <w:sz w:val="20"/>
        </w:rPr>
        <w:t xml:space="preserve">2. </w:t>
      </w:r>
      <w:r>
        <w:rPr>
          <w:rFonts w:ascii="Calibri" w:hAnsi="Calibri"/>
          <w:b w:val="0"/>
          <w:color w:val="3A4A28"/>
          <w:sz w:val="20"/>
        </w:rPr>
        <w:t>AI disruption of traditional asset management as algorithmic and AI-powered investment tools commoditize stock selection and portfolio construction [2]</w:t>
      </w:r>
    </w:p>
    <w:p>
      <w:pPr>
        <w:spacing w:before="40" w:after="40"/>
        <w:ind w:left="283"/>
      </w:pPr>
      <w:r>
        <w:rPr>
          <w:rFonts w:ascii="Calibri" w:hAnsi="Calibri"/>
          <w:b/>
          <w:color w:val="4A6B25"/>
          <w:sz w:val="20"/>
        </w:rPr>
        <w:t xml:space="preserve">3. </w:t>
      </w:r>
      <w:r>
        <w:rPr>
          <w:rFonts w:ascii="Calibri" w:hAnsi="Calibri"/>
          <w:b w:val="0"/>
          <w:color w:val="3A4A28"/>
          <w:sz w:val="20"/>
        </w:rPr>
        <w:t>Integration risk from multiple acquisitions (Victory Park Capital, Tabula) straining management bandwidth while the core business faces structural headwinds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Asset management faces meaningful AI disruption risk as algorithmic trading, robo-advisors, and AI-powered portfolio construction tools commoditize traditional active management. JHG's active equity and fixed income strategies compete directly with lower-cost passive alternatives that are increasingly AI-enhanced [2]. However, JHG has some protection through its institutional relationships, multi-asset capabilities, and the complexity of alternative credit strategies acquired through Victory Park Capital [1]. Trian Fund Management's activist proposal to accelerate AI adoption at JHG highlights that the firm is perceived as behind on technology transformation [2]. AI Opportunity (1/1): JHG is deploying AI internally for portfolio analytics, risk management, and client servicing, and the firm's data assets across $382B AUM provide a foundation for AI-enhanced investment processes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Janus Henderson Q4 2025 Earnings Release — $708.3M quarterly revenue, $2.01 EPS beating estimates by 69%, January 30,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and InvestmentNews — Janus Henderson leadership culture, AI transformation proposals from Trian Fund Management,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Janus Henderson Investors — Corporate website, Brighter Future Project, ESG integration and responsibility pages,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Sustainalytics — Janus Henderson Group ESG Risk Rating,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JHG, retrieved April 10,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