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JHX</w:t>
      </w:r>
      <w:r>
        <w:rPr>
          <w:rFonts w:ascii="Calibri" w:hAnsi="Calibri"/>
          <w:b/>
          <w:color w:val="1A2010"/>
          <w:sz w:val="40"/>
        </w:rPr>
        <w:t xml:space="preserve">  James Hardie Industries plc</w:t>
      </w:r>
    </w:p>
    <w:p>
      <w:pPr>
        <w:spacing w:after="120"/>
      </w:pPr>
      <w:r>
        <w:rPr>
          <w:rFonts w:ascii="Calibri" w:hAnsi="Calibri"/>
          <w:b/>
          <w:color w:val="6E8450"/>
          <w:sz w:val="18"/>
        </w:rPr>
        <w:t>GROWTH SLEEVE · 2026-03-30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NYSE · Ireland</w:t>
      </w:r>
    </w:p>
    <w:p>
      <w:pPr>
        <w:spacing w:after="80"/>
      </w:pPr>
      <w:r>
        <w:rPr>
          <w:rFonts w:ascii="Calibri" w:hAnsi="Calibri"/>
          <w:b w:val="0"/>
          <w:color w:val="3A4A28"/>
          <w:sz w:val="20"/>
        </w:rPr>
        <w:t>James Hardie is the world's largest manufacturer of fiber cement products, primarily used for exterior siding in residential construction. Following the $8.4B acquisition of AZEK (closed July 2025), the company expanded into composite decking, trim, and outdoor living solutions. Founded in 1888, headquartered in Dublin with primary operations in North America (~80% of earnings).</w:t>
      </w:r>
    </w:p>
    <w:p>
      <w:r>
        <w:rPr>
          <w:rFonts w:ascii="Calibri" w:hAnsi="Calibri"/>
          <w:b/>
          <w:color w:val="6E8450"/>
          <w:sz w:val="18"/>
        </w:rPr>
        <w:t>6,000 Employees · https://www.jameshardie.com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$8.4B AZEK acquisition in July 2025 was a transformative move that expanded James Hardie from fiber cement into composite decking and outdoor living, creating a $5.9B combined-revenue building products platform [1][2]. The North American fiber cement business has compounded revenue at 10% CAGR over 5 years with 400bps of margin expansion. AI Deployment (0/2): No evidence of AI-powered products or quantifiable AI-driven efficiency gains in manufacturing or operations. The building materials industry remains largely traditional in its production processes. Market Share (2/2): James Hardie is the dominant global leader in fiber cement with the Hardie brand commanding premium positioning in North American residential siding [1]. The AZEK acquisition adds the #1 composite decking brand, creating dual market leadership positions. Pipeline (1/2): Long-term aspirations include double-digit North American fiber cement revenue growth, 500bps additional EBITDA margin expansion, and $200M in AZEK integration synergies by 2026 [1]. The combined product portfolio enables cross-selling opportunities. R&amp;D Intensity (0/1): R&amp;D spending is not highlighted as a differentiator; James Hardie competes on brand, distribution, and manufacturing scale rather than technology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James Hardie's purpose centers on providing durable, sustainable building products that protect and beautify homes. The sustainability commitment (98% landfill diversion in APAC, Zero Harm safety standards) shows genuine intention [3]. However, the mission is functional rather than transformative — it describes what the company does well, not a broader vision of the future. Community Impact (1/2): The asbestos compensation fund ($1B+ underfunding scandal from 2001) cast a long shadow, but the company has since made ongoing payments and embedded ESG commitments with 2030 emission targets [3]. AZEK's recycled materials focus adds sustainability credibility. Employee Retention (1/2): 6,000 employees with a global operations footprint. The Zero Harm safety culture and recent Chief People Officer appointment suggest investment in employee wellbeing, but no specific retention or tenure data is publicly available [2]. Insider Buying (1/2): The AZEK acquisition at 1.0340 JHX shares per AZEK share represented significant insider conviction in the combined platform. New board members from AZEK (Jesse Singh, Howard Heckes, Gary Hendrickson) add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James Hardie passes the liquidity floor (6.2M avg volume × $18.04 = $111.9M daily liquidity) [5]. Forward P/E of 14.1x is attractive and well below the 20x target (score 1.0), reflecting depressed near-term earnings from AZEK integration costs [5]. D/E of 76.2% is near the 70% target (score 0.97), elevated by $4.9B acquisition debt [5]. Revenue growth of 30.1% YoY scores well but is acquisition-driven — organic growth was just 1% in Q3 FY2026 [1]. The critical weakness is profitability: ROE of 2.8% (score 0.19 at 2x weight) and profit margin of 2.7% (score 0.14) are severely compressed by AZEK integration charges and $4.9B debt servicing [5]. Revenue growth 5yr CAGR of ~5% organically reflects the cyclical housing market headwinds [1]. PEG ratio unavailable. Management targets $1B+ annual FCF once synergies are captured, suggesting infrastructure will improve materially post-integration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James Hardie demonstrates infinite game qualities through its 138-year history of continuous adaptation — from asbestos products to fiber cement to the transformative AZEK acquisition. The long-term aspiration to triple North American EBITDA and the focus on durable product innovation suggest a company playing to keep playing. However, the asbestos liability scandal revealed past governance failures, and the aggressive acquisition strategy funded by $4.9B in debt carries finite game risk of over-leveraging for short-term scale.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James Hardie's implicit cause — making homes more durable, beautiful, and sustainable — has been validated by 138 years of continuous operation through multiple industry transformations [1]. The pivot from asbestos to fiber cement and now to sustainable composite materials shows a cause that evolves with societal needs. The AZEK acquisition's sustainability angle (recycled materials) adds depth. However, the cause is not explicitly articulated as a transformative vision — it's more a commitment to product excellence than a Just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Zero Harm safety culture and appointment of a Chief People Officer signal investment in employee wellbeing [2]. The balanced leadership structure post-AZEK (retaining both JHX and AZEK leaders) reduces integration risk. However, recent leadership changes (new CFO Ryan Lada, new board chair Nigel Stein) create transition uncertainty [2]. The asbestos scandal's legacy of misleading stakeholders in 2001 still casts a shadow on institutional trust, though current leadership was not involved.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James Hardie competes against LP Building Solutions, Trex (composite decking), and traditional wood/vinyl siding manufacturers. The AZEK acquisition directly addressed a worthy rival situation — rather than competing against AZEK's composite decking leadership, James Hardie acquired it to strengthen its own outdoor living capabilities [2]. This shows strategic humility in recognizing a gap. The long-term focus on brand premium over price competition suggests quality-oriented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James Hardie's history is defined by existential pivots: from asbestos manufacturing to fiber cement when the health risks became clear, and now from a pure fiber cement company to a diversified exterior building products platform through the $8.4B AZEK acquisition [2][3]. The willingness to take on significant debt to transform the company's strategic positioning — even at the cost of near-term earnings compression (EPS down 64%) — demonstrates flexibility in service of long-term capability building. The 2030 sustainability targets show forward-looking environmental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Aaron Erter executed the bold $8.4B AZEK acquisition despite housing market weakness, choosing long-term platform building over short-term earnings protection [2]. The decision to raise FY2026 EBITDA guidance while absorbing integration costs shows confidence. However, the acquisition was partially debt-funded ($4.9B), which could constrain future strategic flexibility. The company's handling of the asbestos crisis two decades ago — where the board misled shareholders about compensation fund adequacy — remains a blemish on institutional courage, though current leadership has upheld compensation commitments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James Hardie is the global leader in fiber cement building products, now transformed into a $5.9B-revenue exterior home solutions platform through the $8.4B AZEK acquisition completed July 2025 [1][2]. Q3 FY2026 results showed 30% revenue growth to $1.24B with raised full-year EBITDA guidance to $1.25B midpoint [1]. The organic James Hardie business maintains a healthy 27.5% EBITDA margin while AZEK margins improved 140bps to 23.3%, signaling early synergy capture against a $200M annual target [1]. Forward P/E of 14.1x prices in significant near-term earnings compression from integration costs, creating upside as margins normalize toward the combined 31% EBITDA margin potential [1]. North America's 10% 5-year revenue CAGR with 400bps of margin expansion demonstrates a secular share-gain story as fiber cement continues to displace wood and vinyl siding. The combined entity targets $1B+ annual FCF once synergies are achieved [2].</w:t>
      </w:r>
    </w:p>
    <w:p>
      <w:pPr>
        <w:spacing w:after="120"/>
      </w:pPr>
      <w:r>
        <w:rPr>
          <w:rFonts w:ascii="Calibri" w:hAnsi="Calibri"/>
          <w:b w:val="0"/>
          <w:color w:val="3A4A28"/>
          <w:sz w:val="20"/>
        </w:rPr>
        <w:t>The bear case centers on integration execution risk and housing cycle exposure. Organic growth of just 1% in Q3 FY2026 reveals that excluding AZEK, the core business is stagnating amid weak U.S. residential housing starts and high mortgage rates [1]. Profit margin of 2.7% and ROE of 2.8% are severely depressed by $4.9B in acquisition debt — debt servicing costs are consuming most operating income [5]. The August 2025 stock price plunge of 34% following a Q1 profit drop of 29% and weak guidance showed how quickly market sentiment can turn [3]. The asbestos liability legacy (2001 board scandal, $1B+ underfunded compensation, High Court director bans) remains a governance scar that elevates ESG risk for values-based investors [3]. Integration risks are real — combining fiber cement and composite decking cultures, sales forces, and distribution channels has no guarantee of success. If housing remains weak and synergies take longer than expected, the $4.9B debt load could become a significant burden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AZEK synergy capture targeting $200M annually — early margin improvement of 140bps in AZEK segment suggests execution is on track [1]</w:t>
      </w:r>
    </w:p>
    <w:p>
      <w:pPr>
        <w:spacing w:before="40" w:after="40"/>
        <w:ind w:left="283"/>
      </w:pPr>
      <w:r>
        <w:rPr>
          <w:rFonts w:ascii="Calibri" w:hAnsi="Calibri"/>
          <w:b/>
          <w:color w:val="4A6B25"/>
          <w:sz w:val="20"/>
        </w:rPr>
        <w:t xml:space="preserve">2. </w:t>
      </w:r>
      <w:r>
        <w:rPr>
          <w:rFonts w:ascii="Calibri" w:hAnsi="Calibri"/>
          <w:b w:val="0"/>
          <w:color w:val="3A4A28"/>
          <w:sz w:val="20"/>
        </w:rPr>
        <w:t>Housing market recovery — any improvement in U.S. residential housing starts would amplify the combined platform's revenue growth beyond the current 1% organic rate [1]</w:t>
      </w:r>
    </w:p>
    <w:p>
      <w:pPr>
        <w:spacing w:before="40" w:after="40"/>
        <w:ind w:left="283"/>
      </w:pPr>
      <w:r>
        <w:rPr>
          <w:rFonts w:ascii="Calibri" w:hAnsi="Calibri"/>
          <w:b/>
          <w:color w:val="4A6B25"/>
          <w:sz w:val="20"/>
        </w:rPr>
        <w:t xml:space="preserve">3. </w:t>
      </w:r>
      <w:r>
        <w:rPr>
          <w:rFonts w:ascii="Calibri" w:hAnsi="Calibri"/>
          <w:b w:val="0"/>
          <w:color w:val="3A4A28"/>
          <w:sz w:val="20"/>
        </w:rPr>
        <w:t>Raised FY2026 EBITDA guidance to $1.20-1.25B demonstrates management confidence in integration progress and operational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on the $8.4B AZEK acquisition — combining two distinct manufacturing and distribution cultures while managing $4.9B in debt [2]</w:t>
      </w:r>
    </w:p>
    <w:p>
      <w:pPr>
        <w:spacing w:before="40" w:after="40"/>
        <w:ind w:left="283"/>
      </w:pPr>
      <w:r>
        <w:rPr>
          <w:rFonts w:ascii="Calibri" w:hAnsi="Calibri"/>
          <w:b/>
          <w:color w:val="4A6B25"/>
          <w:sz w:val="20"/>
        </w:rPr>
        <w:t xml:space="preserve">2. </w:t>
      </w:r>
      <w:r>
        <w:rPr>
          <w:rFonts w:ascii="Calibri" w:hAnsi="Calibri"/>
          <w:b w:val="0"/>
          <w:color w:val="3A4A28"/>
          <w:sz w:val="20"/>
        </w:rPr>
        <w:t>U.S. housing cycle weakness — organic growth of just 1% shows core demand is stagnant, and high mortgage rates continue to suppress housing starts [1]</w:t>
      </w:r>
    </w:p>
    <w:p>
      <w:pPr>
        <w:spacing w:before="40" w:after="40"/>
        <w:ind w:left="283"/>
      </w:pPr>
      <w:r>
        <w:rPr>
          <w:rFonts w:ascii="Calibri" w:hAnsi="Calibri"/>
          <w:b/>
          <w:color w:val="4A6B25"/>
          <w:sz w:val="20"/>
        </w:rPr>
        <w:t xml:space="preserve">3. </w:t>
      </w:r>
      <w:r>
        <w:rPr>
          <w:rFonts w:ascii="Calibri" w:hAnsi="Calibri"/>
          <w:b w:val="0"/>
          <w:color w:val="3A4A28"/>
          <w:sz w:val="20"/>
        </w:rPr>
        <w:t>Asbestos liability legacy and governance history — the 2001 board scandal and ongoing compensation obligations create reputational and financial tail risk for ESG-conscious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James Hardie manufactures physical building materials — fiber cement siding, composite decking, and trim products — in capital-intensive factories that require physical-world operations AI structurally cannot displace [1]. The construction industry relies on physical installation of tangible products, and AI cannot substitute for the materials themselves. Demand drivers (housing starts, repair/remodel spending) are tied to demographic and economic cycles, not technology substitution. The Hardie brand premium is built on 138 years of product durability and contractor relationships that AI does not threaten. However, AI could modestly improve competitor manufacturing efficiency, reducing James Hardie's cost advantages. AI Opportunity (0/1): No evidence of meaningful AI-driven revenue generation. James Hardie's competitive advantages are physical (manufacturing scale, brand, distribution) rather than technology-based.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James Hardie Q3 FY2026 Earnings — $1.24B net sales (30% growth), raised EBITDA guidance to $1.25B midpoint, February 10, 2026</w:t>
      </w:r>
    </w:p>
    <w:p>
      <w:pPr>
        <w:spacing w:before="20" w:after="20"/>
        <w:ind w:left="170"/>
      </w:pPr>
      <w:r>
        <w:rPr>
          <w:rFonts w:ascii="Calibri" w:hAnsi="Calibri"/>
          <w:b/>
          <w:color w:val="4A6B25"/>
          <w:sz w:val="15"/>
        </w:rPr>
        <w:t xml:space="preserve">2. </w:t>
      </w:r>
      <w:r>
        <w:rPr>
          <w:rFonts w:ascii="Calibri" w:hAnsi="Calibri"/>
          <w:b w:val="0"/>
          <w:color w:val="3A4A28"/>
          <w:sz w:val="17"/>
        </w:rPr>
        <w:t>James Hardie IR — AZEK acquisition completion ($8.4B, July 1, 2025), leadership appointments, integration strategy, 2025-2026</w:t>
      </w:r>
    </w:p>
    <w:p>
      <w:pPr>
        <w:spacing w:before="20" w:after="20"/>
        <w:ind w:left="170"/>
      </w:pPr>
      <w:r>
        <w:rPr>
          <w:rFonts w:ascii="Calibri" w:hAnsi="Calibri"/>
          <w:b/>
          <w:color w:val="4A6B25"/>
          <w:sz w:val="15"/>
        </w:rPr>
        <w:t xml:space="preserve">3. </w:t>
      </w:r>
      <w:r>
        <w:rPr>
          <w:rFonts w:ascii="Calibri" w:hAnsi="Calibri"/>
          <w:b w:val="0"/>
          <w:color w:val="3A4A28"/>
          <w:sz w:val="17"/>
        </w:rPr>
        <w:t>AInvest, Ethics Centre, Sustainalytics — James Hardie ESG risks, asbestos scandal history, governance failures, 2025-2026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Simply Wall St — JHX leadership changes, quarterly loss analysis, strategic outlook,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JHX (James Hardie Industries plc),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