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JPC</w:t>
      </w:r>
      <w:r>
        <w:rPr>
          <w:rFonts w:ascii="Calibri" w:hAnsi="Calibri"/>
          <w:b/>
          <w:color w:val="1A2010"/>
          <w:sz w:val="40"/>
        </w:rPr>
        <w:t xml:space="preserve">  Nuveen Preferred &amp; Income Opportunities Fund</w:t>
      </w:r>
    </w:p>
    <w:p>
      <w:pPr>
        <w:spacing w:after="120"/>
      </w:pPr>
      <w:r>
        <w:rPr>
          <w:rFonts w:ascii="Calibri" w:hAnsi="Calibri"/>
          <w:b/>
          <w:color w:val="6E8450"/>
          <w:sz w:val="18"/>
        </w:rPr>
        <w:t>DIVIDEND SLEEVE · 2026-05-04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Nuveen Preferred &amp; Income Opportunities Fund (JPC) is a closed-end fund formed in 2003 that invests primarily in preferred securities, dividend-paying stocks, and investment-grade corporate debt. Co-managed by Nuveen Fund Advisors, Nuveen Asset Management, and NWQ Investment Management, the fund employs leverage and fundamental analysis to generate high current income. In September 2025, JPC absorbed the Nuveen Preferred Securities &amp; Income Opportunities Fund (JPI) through a merger.</w:t>
      </w:r>
    </w:p>
    <w:p>
      <w:r>
        <w:rPr>
          <w:rFonts w:ascii="Calibri" w:hAnsi="Calibri"/>
          <w:b/>
          <w:color w:val="6E8450"/>
          <w:sz w:val="18"/>
        </w:rPr>
        <w:t>https://www.nuveen.com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JPC is a closed-end fund that has operated with essentially the same preferred securities strategy since its 2003 inception — there are no product launches, business model transformations, or pivots to evaluate [1]. The September 2025 merger with JPI was a routine fund consolidation to reduce expenses, not an innovation. AI Deployment (0/2): As a closed-end fund, JPC does not deploy AI products to customers or report AI-driven cost savings. Fund management uses fundamental analysis with top-down stock selection [1]. Market Share (1/2): JPC is one of the larger preferred securities closed-end funds with a $2.97B market cap, and the JPI merger increased scale and trading liquidity — it is a meaningful player in the preferred CEF space [2]. Pipeline (0/2): No next-generation products or new strategies are visible. The fund will continue its existing preferred securities mandate. R&amp;D Intensity (1/1): Nuveen as a parent organization invests significantly in investment management capabilities, with the tri-manager structure (Nuveen Fund Advisors, Nuveen Asset Management, NWQ) providing research depth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JPC's investment objective is 'high current income' with a secondary objective of 'total return' — this is a standard financial product description, not a mission or purpose [1]. It is interchangeable with any income-focused fund. Community Impact (0/2): No evidence of charitable programs, community investment, or social impact beyond standard fund operations. CEFs are investment vehicles, not mission-driven organizations [1]. Employee Retention (0/2): As a closed-end fund managed by Nuveen (a TIAA subsidiary), JPC has no direct employees — the fund itself is a legal entity managed by external advisors. Employee data is not applicable [1]. Insider Buying (1/2): Officer Nathaniel Jones sold 869 shares for $6,765 in May 2025, a trivial transaction. No meaningful insider buying was detected, though the small size of the sale is not alarming for a CEF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calculated mechanically. JPC has a clean D/E ratio of 45% reflecting moderate CEF leverage, which is standard for the structure [2]. Profit margin of 93.9% reflects the fund's low operating expense ratio relative to investment income — typical for well-run CEFs [3]. ROE of 9.7% is below the 15% target but reasonable for a leveraged income fund. The dividend profile is mixed: 23 consecutive years of distributions (since 2003 inception) and an estimated 5.6% 5-year dividend CAGR earn strong marks, but the 87.3% payout ratio is elevated and the recent distribution cut from $0.067 to $0.063/month in December 2025 breaks consecutive growth [3]. Revenue growth metrics are excluded as not meaningful for a CEF where 'revenue' reflects volatile investment income. Liquidity: 1.12M avg vol x $8.02 = $8.99M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JPC is a financial product, not a mission-driven organization. Closed-end funds exist to generate income for shareholders — there is no just cause, no organizational culture to evaluate, and no strategic flexibility beyond the fund's mandate. Nuveen as the parent manager has institutional longevity, but JPC itself is a finite instrument with a defined investment objective.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JPC's purpose is 'high current income' — this is a financial return objective, not a vision of a better future [1]. There is no just cause in Sinek's framework. The fund exists to generate yield for shareholders, which is a legitimate financial purpose but entirely finite-minded. (0/3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tri-manager structure (Nuveen Fund Advisors, Nuveen Asset Management, NWQ Investment Management) has been stable since inception, suggesting adequate institutional trust [1]. Nuveen, as a subsidiary of TIAA (a $1.3T organization), provides institutional backing and stability. The September 2025 JPI merger was executed smoothly, indicating organizational competence.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JPC benchmarks against the BofA/Merrill Lynch Preferred Stock Fixed Rate Index and a blended index, which is standard competitive framing for a fund [1]. There is no evidence of Sinek-style worthy rival thinking — the fund's competitive language is about performance versus benchmarks and peer funds, a fundamentally finite competitive frame. (0/1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JPC's investment mandate is fixed by its prospectus — the fund must invest in preferred securities, dividend-paying stocks, and investment-grade debt [1]. There is virtually no flexibility to reinvent the business model. The September 2025 JPI merger represented the most significant structural change in the fund's 23-year history, but it was a consolidation, not a pivot. CEFs are structurally rigid by design.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December 2025 distribution cut from $0.067 to $0.063/month, while painful for income investors, reflects discipline in aligning distributions with actual earnings rather than overdistributing from NAV [3]. The JPI merger decision to consolidate for lower expenses benefited long-term shareholders even though mergers create short-term uncertainty. These are modest examples of prioritizing sustainability over short-term optics.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JPC offers a compelling 9.35% distribution yield backed by a diversified portfolio of investment-grade preferred securities and corporate debt, managed by Nuveen's institutional platform (TIAA subsidiary) with 23 years of continuous distributions [1][3]. The September 2025 JPI merger increased scale to $2.97B, lowered expense ratios, and improved trading liquidity. The P/E of 8.9x is attractive, the D/E of 45% reflects manageable leverage for a CEF, and the fund trades near NAV (book value $8.01 vs price $8.02), eliminating the typical CEF discount risk [3]. In a potential rate-cutting environment, preferred securities benefit from duration exposure and tightening credit spreads.</w:t>
      </w:r>
    </w:p>
    <w:p>
      <w:pPr>
        <w:spacing w:after="120"/>
      </w:pPr>
      <w:r>
        <w:rPr>
          <w:rFonts w:ascii="Calibri" w:hAnsi="Calibri"/>
          <w:b w:val="0"/>
          <w:color w:val="3A4A28"/>
          <w:sz w:val="20"/>
        </w:rPr>
        <w:t>The bear case centers on leverage risk and distribution sustainability. JPC employs structural leverage ($1.35B total debt) which amplified losses during the 2022-2023 rate hiking cycle — the fund acknowledged leverage had a negative impact on total return [2]. The 87.3% payout ratio leaves thin coverage for distributions, and the December 2025 cut from $0.067 to $0.063/month signals that earnings may not fully support the current yield [3]. Preferred securities carry credit risk concentrated in financial institutions (banks, insurance companies) — a financial crisis scenario could simultaneously impair multiple holdings while leverage magnifies losses. The fund's NAV is highly sensitive to interest rate movements: if the Fed holds rates higher for longer or resumes hikes, preferred securities face price declines and potential further distribution cuts. Insider selling (albeit trivial) and no insider buying provide no management conviction signal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cuts would benefit preferred securities through price appreciation on duration exposure and tightening credit spreads, directly boosting NAV and potentially enabling distribution increases [1]</w:t>
      </w:r>
    </w:p>
    <w:p>
      <w:pPr>
        <w:spacing w:before="40" w:after="40"/>
        <w:ind w:left="283"/>
      </w:pPr>
      <w:r>
        <w:rPr>
          <w:rFonts w:ascii="Calibri" w:hAnsi="Calibri"/>
          <w:b/>
          <w:color w:val="4A6B25"/>
          <w:sz w:val="20"/>
        </w:rPr>
        <w:t xml:space="preserve">2. </w:t>
      </w:r>
      <w:r>
        <w:rPr>
          <w:rFonts w:ascii="Calibri" w:hAnsi="Calibri"/>
          <w:b w:val="0"/>
          <w:color w:val="3A4A28"/>
          <w:sz w:val="20"/>
        </w:rPr>
        <w:t>Post-JPI merger scale benefits — lower expense ratio and increased trading liquidity should improve total return and reduce the cost of generating income for shareholders [2]</w:t>
      </w:r>
    </w:p>
    <w:p>
      <w:pPr>
        <w:spacing w:before="40" w:after="40"/>
        <w:ind w:left="283"/>
      </w:pPr>
      <w:r>
        <w:rPr>
          <w:rFonts w:ascii="Calibri" w:hAnsi="Calibri"/>
          <w:b/>
          <w:color w:val="4A6B25"/>
          <w:sz w:val="20"/>
        </w:rPr>
        <w:t xml:space="preserve">3. </w:t>
      </w:r>
      <w:r>
        <w:rPr>
          <w:rFonts w:ascii="Calibri" w:hAnsi="Calibri"/>
          <w:b w:val="0"/>
          <w:color w:val="3A4A28"/>
          <w:sz w:val="20"/>
        </w:rPr>
        <w:t>Preferred securities supply-demand dynamics — bank regulatory capital requirements under Basel III/IV drive continued preferred issuance, maintaining the investable universe and yield opportunities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if rates remain elevated or increase further, preferred securities face price declines, NAV erosion, and potential additional distribution cuts beyond the December 2025 reduction [2]</w:t>
      </w:r>
    </w:p>
    <w:p>
      <w:pPr>
        <w:spacing w:before="40" w:after="40"/>
        <w:ind w:left="283"/>
      </w:pPr>
      <w:r>
        <w:rPr>
          <w:rFonts w:ascii="Calibri" w:hAnsi="Calibri"/>
          <w:b/>
          <w:color w:val="4A6B25"/>
          <w:sz w:val="20"/>
        </w:rPr>
        <w:t xml:space="preserve">2. </w:t>
      </w:r>
      <w:r>
        <w:rPr>
          <w:rFonts w:ascii="Calibri" w:hAnsi="Calibri"/>
          <w:b w:val="0"/>
          <w:color w:val="3A4A28"/>
          <w:sz w:val="20"/>
        </w:rPr>
        <w:t>Leverage amplification — $1.35B in structural debt magnifies both gains and losses, and rising borrowing costs directly compress the fund's net investment income spread [2]</w:t>
      </w:r>
    </w:p>
    <w:p>
      <w:pPr>
        <w:spacing w:before="40" w:after="40"/>
        <w:ind w:left="283"/>
      </w:pPr>
      <w:r>
        <w:rPr>
          <w:rFonts w:ascii="Calibri" w:hAnsi="Calibri"/>
          <w:b/>
          <w:color w:val="4A6B25"/>
          <w:sz w:val="20"/>
        </w:rPr>
        <w:t xml:space="preserve">3. </w:t>
      </w:r>
      <w:r>
        <w:rPr>
          <w:rFonts w:ascii="Calibri" w:hAnsi="Calibri"/>
          <w:b w:val="0"/>
          <w:color w:val="3A4A28"/>
          <w:sz w:val="20"/>
        </w:rPr>
        <w:t>Financial sector credit concentration — preferred securities are heavily weighted toward banks and insurance companies, creating correlated default risk during systemic financial stress events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JPC invests in preferred securities and investment-grade debt — financial instruments whose value is driven by interest rates, credit spreads, and issuer fundamentals, not technology disruption [1]. AI cannot replace the need for preferred stock issuance by banks, utilities, and financial institutions. The preferred securities market is driven by regulatory capital requirements (Basel III/IV) and corporate capital structure decisions that are structurally immune to AI substitution. The fund management process (fundamental analysis, credit evaluation) could be enhanced by AI tools but the underlying assets are not threatened. AI Opportunity (0/1): JPC does not generate revenue from AI products. While Nuveen may use quantitative tools in portfolio management, there is no AI-specific revenue contribution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Nuveen corporate website — JPC fund overview, investment objective, strategy, and prospectus details, accessed May 2026</w:t>
      </w:r>
    </w:p>
    <w:p>
      <w:pPr>
        <w:spacing w:before="20" w:after="20"/>
        <w:ind w:left="170"/>
      </w:pPr>
      <w:r>
        <w:rPr>
          <w:rFonts w:ascii="Calibri" w:hAnsi="Calibri"/>
          <w:b/>
          <w:color w:val="4A6B25"/>
          <w:sz w:val="15"/>
        </w:rPr>
        <w:t xml:space="preserve">2. </w:t>
      </w:r>
      <w:r>
        <w:rPr>
          <w:rFonts w:ascii="Calibri" w:hAnsi="Calibri"/>
          <w:b w:val="0"/>
          <w:color w:val="3A4A28"/>
          <w:sz w:val="17"/>
        </w:rPr>
        <w:t>SEC filings and fund shareholder reports — JPC leverage disclosures, JPI merger completion September 2025, distribution policy</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 JPC key statistics, dividend history, financial metrics, insider transactions,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