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JPM</w:t>
      </w:r>
      <w:r>
        <w:rPr>
          <w:rFonts w:ascii="Calibri" w:hAnsi="Calibri"/>
          <w:b/>
          <w:color w:val="1A2010"/>
          <w:sz w:val="40"/>
        </w:rPr>
        <w:t xml:space="preserve">  JPMorgan Chase &amp; Co.</w:t>
      </w:r>
    </w:p>
    <w:p>
      <w:pPr>
        <w:spacing w:after="120"/>
      </w:pPr>
      <w:r>
        <w:rPr>
          <w:rFonts w:ascii="Calibri" w:hAnsi="Calibri"/>
          <w:b/>
          <w:color w:val="6E8450"/>
          <w:sz w:val="18"/>
        </w:rPr>
        <w:t>DIVIDEND SLEEVE · 2026-03-27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States</w:t>
      </w:r>
    </w:p>
    <w:p>
      <w:pPr>
        <w:spacing w:after="80"/>
      </w:pPr>
      <w:r>
        <w:rPr>
          <w:rFonts w:ascii="Calibri" w:hAnsi="Calibri"/>
          <w:b w:val="0"/>
          <w:color w:val="3A4A28"/>
          <w:sz w:val="20"/>
        </w:rPr>
        <w:t>JPMorgan Chase &amp; Co. is the largest U.S. bank by assets, operating across Consumer &amp; Community Banking, Corporate &amp; Investment Bank, Commercial Banking, and Asset &amp; Wealth Management segments. With $4+ trillion in assets, the firm serves millions of consumers, businesses, and institutional clients globally.</w:t>
      </w:r>
    </w:p>
    <w:p>
      <w:r>
        <w:rPr>
          <w:rFonts w:ascii="Calibri" w:hAnsi="Calibri"/>
          <w:b/>
          <w:color w:val="6E8450"/>
          <w:sz w:val="18"/>
        </w:rPr>
        <w:t>318,512 Employees · https://www.jpmorganchase.com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JPMorgan is spending $19.8B on technology in 2026 — the largest tech budget in the financial industry — with significant investment in AI infrastructure, including an internal LLM platform used by 150,000 employees weekly that saves roughly 4 hours per employee per week [2]. The 'Proxy IQ' AI tool replacing external proxy advisory firms demonstrates proprietary AI capability. Operations teams handle 6% more accounts per employee, fraud costs fell 11% per unit, and software engineer productivity climbed 10% from AI deployment [2]. CEO Dimon compares AI's impact to electricity and the printing press.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Jamie Dimon is widely regarded as the preeminent banking CEO of his generation, leading JPMorgan through the 2008 financial crisis, COVID, and the regional banking crisis as the acquirer of last resort (Washington Mutual, Bear Stearns, First Republic) [2]. His AI workforce strategy — displacing workers into new roles rather than laying them off, maintaining 318,500 headcount — demonstrates responsible leadership. The $30B Racial Equity Commitment and emphasis on soft skills alongside AI adoption reflect a leader concerned with societal impact. However, the $350M+ in regulatory fines for trade surveillance failures (2024) and disclosure lapses temper the governance narrative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JPMorgan delivers exceptional financial metrics across every dimension: 33.9% profit margin (industry-leading), ROE of 16.1% above the 15% target, forward P/E of 12.4x (value territory for a bank of this quality), and a 12.5% 3-year revenue CAGR to $181.9B [1]. The payout ratio of just 29% leaves ample room for dividend growth, and the 10.7% 5-year dividend CAGR demonstrates consistent shareholder returns. Revenue grew modestly at 2.5% YoY, but NII guidance of $103B for 2026 provides visibility. The $787B market cap reflects JPMorgan's status as the world's most valuable bank.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JPMorgan under Dimon demonstrates strong infinite-game characteristics: acquiring troubled banks during crises (Bear Stearns, WaMu, First Republic), investing $20B+ annually in technology for long-term competitive positioning, and maintaining workforce headcount through AI-driven redeployment rather than layoffs. However, the bank's $350M+ in regulatory fines for surveillance and compliance failures, and Dimon's intense focus on competitive positioning against fintech rivals, introduce finite-game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Dimon frames JPMorgan's mission around economic inclusion and resilience — the $30B Racial Equity Commitment and serving 'millions of consumers, businesses, and institutional clients globally' provide genuine purpose beyond profit [2]. However, banking's fundamental purpose of financial intermediation, while essential, lacks the transformative aspiration of companies solving novel problems.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JPMorgan's AI-driven workforce transformation is managed responsibly — displaced workers are offered new roles, overall headcount remains stable at 318,500, and the no-hiring culture ('first reaction is not hire more people') drives efficiency without mass layoffs [2]. Dimon's emphasis on soft skills alongside AI adoption shows investment in human capital. However, trimming operations (-4%) and support (-2%) teams while expanding client-facing roles creates internal tension.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Dimon explicitly acknowledges that JPMorgan is operating in 'the most competitive banking environment in at least 20 years,' naming Stripe and fintech competitors as worthy rivals justifying $9B in increased spending [2]. This competitive humility from the CEO of the world's most valuable bank reflects genuine learning orientation.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JPMorgan has repeatedly demonstrated existential flexibility through crisis acquisitions (Bear Stearns 2008, WaMu 2008, First Republic 2023, Apple Card portfolio 2025) that reshape the competitive landscape [1]. The $20B tech investment and AI-driven operational transformation represent proactive strategic evolution rather than reactive survival.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Dimon showed courage in projecting $105B in 2026 expenses (causing a 4% stock drop) to fund AI investment, prioritizing long-term competitiveness over quarterly sentiment [1]. His public warnings about geopolitical risk, sticky inflation, and elevated asset prices demonstrate willingness to deliver uncomfortable truths. The decision to develop proprietary 'Proxy IQ' replacing external proxy advisors shows conviction in internal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JPMorgan Chase is the highest-quality bank franchise globally, combining industry-leading profitability (33.9% profit margin, 16.1% ROE), a fortress balance sheet, and the most aggressive AI investment program in financial services ($19.8B tech spend in 2026) — all at a reasonable forward P/E of 12.4x [1][2]. The 10.7% 5-year dividend CAGR with a sustainable 29% payout ratio provides compelling income growth, while the $103B NII guidance for 2026 and multi-year-high M&amp;A pipeline suggest continued earnings power. Dimon's AI-driven productivity gains (6% more accounts/employee, 11% lower fraud costs) are tangible competitive advantages that widen the moat versus smaller banks and fintech competitors. The bank's track record of crisis acquisitions positions it as the buyer of last resort in future dislocations.</w:t>
      </w:r>
    </w:p>
    <w:p>
      <w:pPr>
        <w:spacing w:after="120"/>
      </w:pPr>
      <w:r>
        <w:rPr>
          <w:rFonts w:ascii="Calibri" w:hAnsi="Calibri"/>
          <w:b w:val="0"/>
          <w:color w:val="3A4A28"/>
          <w:sz w:val="20"/>
        </w:rPr>
        <w:t>The bear case focuses on the aggressive expense outlook — the projected $105B in 2026 spending caused a 4% stock drop and creates margin pressure if revenue growth disappoints [1]. EPS declined 3.6% YoY despite revenue growth, reflecting the cost of AI investment and the $2.2B Apple Card reserve. The $350M+ in regulatory fines for trade surveillance and disclosure failures demonstrate ongoing compliance risk at a systemically important institution [3]. Revenue growth of just 2.5% YoY for a stock priced at 14.6x trailing earnings provides limited multiple expansion upside. Dimon's own warnings about 'complex geopolitical conditions, sticky inflation, and elevated asset prices' suggest the CEO himself is cautious about near-term macroeconomic risks. Succession risk looms as Dimon, in his 20th year as CEO, has not named a clear successor.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productivity gains accelerating — if 150,000 employees saving 4 hours/week translates to 600,000 hours of weekly capacity, JPM could reduce headcount or grow revenue without proportional cost increases [2]</w:t>
      </w:r>
    </w:p>
    <w:p>
      <w:pPr>
        <w:spacing w:before="40" w:after="40"/>
        <w:ind w:left="283"/>
      </w:pPr>
      <w:r>
        <w:rPr>
          <w:rFonts w:ascii="Calibri" w:hAnsi="Calibri"/>
          <w:b/>
          <w:color w:val="4A6B25"/>
          <w:sz w:val="20"/>
        </w:rPr>
        <w:t xml:space="preserve">2. </w:t>
      </w:r>
      <w:r>
        <w:rPr>
          <w:rFonts w:ascii="Calibri" w:hAnsi="Calibri"/>
          <w:b w:val="0"/>
          <w:color w:val="3A4A28"/>
          <w:sz w:val="20"/>
        </w:rPr>
        <w:t>M&amp;A pipeline at multi-year highs converting to investment banking fees in H1 2026, reversing the 5% decline in banking revenue from Q4 2025 [1]</w:t>
      </w:r>
    </w:p>
    <w:p>
      <w:pPr>
        <w:spacing w:before="40" w:after="40"/>
        <w:ind w:left="283"/>
      </w:pPr>
      <w:r>
        <w:rPr>
          <w:rFonts w:ascii="Calibri" w:hAnsi="Calibri"/>
          <w:b/>
          <w:color w:val="4A6B25"/>
          <w:sz w:val="20"/>
        </w:rPr>
        <w:t xml:space="preserve">3. </w:t>
      </w:r>
      <w:r>
        <w:rPr>
          <w:rFonts w:ascii="Calibri" w:hAnsi="Calibri"/>
          <w:b w:val="0"/>
          <w:color w:val="3A4A28"/>
          <w:sz w:val="20"/>
        </w:rPr>
        <w:t>Dividend growth continuation — the 29% payout ratio and 10.7% CAGR suggest mid-teens annual dividend increases are sustainable, potentially reaching $7+ annually by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Expense inflation — $105B in 2026 projected spending represents significant operating leverage risk if economic conditions deteriorate and revenue falls below the $182B 2025 base [1]</w:t>
      </w:r>
    </w:p>
    <w:p>
      <w:pPr>
        <w:spacing w:before="40" w:after="40"/>
        <w:ind w:left="283"/>
      </w:pPr>
      <w:r>
        <w:rPr>
          <w:rFonts w:ascii="Calibri" w:hAnsi="Calibri"/>
          <w:b/>
          <w:color w:val="4A6B25"/>
          <w:sz w:val="20"/>
        </w:rPr>
        <w:t xml:space="preserve">2. </w:t>
      </w:r>
      <w:r>
        <w:rPr>
          <w:rFonts w:ascii="Calibri" w:hAnsi="Calibri"/>
          <w:b w:val="0"/>
          <w:color w:val="3A4A28"/>
          <w:sz w:val="20"/>
        </w:rPr>
        <w:t>Regulatory and compliance risk — the $350M+ in fines for trade surveillance failures could escalate, and JPM's status as a GSIB makes it a perennial regulatory target [3]</w:t>
      </w:r>
    </w:p>
    <w:p>
      <w:pPr>
        <w:spacing w:before="40" w:after="40"/>
        <w:ind w:left="283"/>
      </w:pPr>
      <w:r>
        <w:rPr>
          <w:rFonts w:ascii="Calibri" w:hAnsi="Calibri"/>
          <w:b/>
          <w:color w:val="4A6B25"/>
          <w:sz w:val="20"/>
        </w:rPr>
        <w:t xml:space="preserve">3. </w:t>
      </w:r>
      <w:r>
        <w:rPr>
          <w:rFonts w:ascii="Calibri" w:hAnsi="Calibri"/>
          <w:b w:val="0"/>
          <w:color w:val="3A4A28"/>
          <w:sz w:val="20"/>
        </w:rPr>
        <w:t>CEO succession uncertainty — Dimon's 20-year tenure is unprecedented for a modern bank CEO, and his eventual departure could create significant market and operational disruption given his outsized role in JPM's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JPMorgan is arguably the most AI-forward financial institution globally, spending nearly $20B on technology in 2026 and already demonstrating tangible productivity gains — 6% more accounts per employee, 11% lower fraud costs, 10% higher developer productivity [2]. The internal LLM platform used by 150,000 employees and 'Proxy IQ' governance tool represent proprietary AI capabilities that create competitive moats. Dimon's comparison of AI to electricity signals institutional commitment at the highest level. The bank's scale (318,500 employees, $4T+ assets) provides massive training data advantages. Fintech AI competition from Stripe and others drives ongoing investment urgency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CNBC — 'JPMorgan Chase tops estimates as trading revenue exceeds expectations', January 13, 2026; Q4 2025 Earnings Release</w:t>
      </w:r>
    </w:p>
    <w:p>
      <w:pPr>
        <w:spacing w:before="20" w:after="20"/>
        <w:ind w:left="170"/>
      </w:pPr>
      <w:r>
        <w:rPr>
          <w:rFonts w:ascii="Calibri" w:hAnsi="Calibri"/>
          <w:b/>
          <w:color w:val="4A6B25"/>
          <w:sz w:val="15"/>
        </w:rPr>
        <w:t xml:space="preserve">2. </w:t>
      </w:r>
      <w:r>
        <w:rPr>
          <w:rFonts w:ascii="Calibri" w:hAnsi="Calibri"/>
          <w:b w:val="0"/>
          <w:color w:val="3A4A28"/>
          <w:sz w:val="17"/>
        </w:rPr>
        <w:t>CNBC — 'Jamie Dimon says AI is already reshaping JPMorgan Chase's workforce', February 2026; Finviz — 'Dimon Boosts 2026 Tech Spend to Nearly $20 Billion'</w:t>
      </w:r>
    </w:p>
    <w:p>
      <w:pPr>
        <w:spacing w:before="20" w:after="20"/>
        <w:ind w:left="170"/>
      </w:pPr>
      <w:r>
        <w:rPr>
          <w:rFonts w:ascii="Calibri" w:hAnsi="Calibri"/>
          <w:b/>
          <w:color w:val="4A6B25"/>
          <w:sz w:val="15"/>
        </w:rPr>
        <w:t xml:space="preserve">3. </w:t>
      </w:r>
      <w:r>
        <w:rPr>
          <w:rFonts w:ascii="Calibri" w:hAnsi="Calibri"/>
          <w:b w:val="0"/>
          <w:color w:val="3A4A28"/>
          <w:sz w:val="17"/>
        </w:rPr>
        <w:t>Federal Reserve Board — Enforcement action against JPMorgan Chase, March 2024; OCC $250M penalty; Global Relay — '$350M in fines'</w:t>
      </w:r>
    </w:p>
    <w:p>
      <w:pPr>
        <w:spacing w:before="20" w:after="20"/>
        <w:ind w:left="170"/>
      </w:pPr>
      <w:r>
        <w:rPr>
          <w:rFonts w:ascii="Calibri" w:hAnsi="Calibri"/>
          <w:b/>
          <w:color w:val="4A6B25"/>
          <w:sz w:val="15"/>
        </w:rPr>
        <w:t xml:space="preserve">4. </w:t>
      </w:r>
      <w:r>
        <w:rPr>
          <w:rFonts w:ascii="Calibri" w:hAnsi="Calibri"/>
          <w:b w:val="0"/>
          <w:color w:val="3A4A28"/>
          <w:sz w:val="17"/>
        </w:rPr>
        <w:t>Yahoo Finance — JPM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