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KBR</w:t>
      </w:r>
      <w:r>
        <w:rPr>
          <w:rFonts w:ascii="Calibri" w:hAnsi="Calibri"/>
          <w:b/>
          <w:color w:val="1A2010"/>
          <w:sz w:val="40"/>
        </w:rPr>
        <w:t xml:space="preserve">  KBR, Inc.</w:t>
      </w:r>
    </w:p>
    <w:p>
      <w:pPr>
        <w:spacing w:after="120"/>
      </w:pPr>
      <w:r>
        <w:rPr>
          <w:rFonts w:ascii="Calibri" w:hAnsi="Calibri"/>
          <w:b/>
          <w:color w:val="6E8450"/>
          <w:sz w:val="18"/>
        </w:rPr>
        <w:t>GROWTH SLEEVE · 2026-04-26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KBR is a global engineering, technology, and services company providing scientific, technology, and engineering solutions to governments and commercial customers. It operates through Government Solutions (Mission Technology Solutions) focused on defense, intelligence, and space, and Sustainable Technology Solutions providing proprietary process technologies for ammonia, petrochemicals, and decarbonization.</w:t>
      </w:r>
    </w:p>
    <w:p>
      <w:r>
        <w:rPr>
          <w:rFonts w:ascii="Calibri" w:hAnsi="Calibri"/>
          <w:b/>
          <w:color w:val="6E8450"/>
          <w:sz w:val="18"/>
        </w:rPr>
        <w:t>36,000 Employees · https://www.kbr.com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KBR grew revenue from $6.56B (2022) to $7.79B (2025) at a 5.9% CAGR, with Mission Tech growing at 4% CAGR and improving EBITDA margins from 9.8% to 10.4% [1]. Q4 2025 revenue declined $223M YoY due to award timing and UCOM scope reductions, showing lumpy growth typical of government contractors. AI Deployment (1/2): KBR provides digitally-enabled monitoring solutions and data analytics for government clients, with some AI capabilities in defense/intelligence applications, but no specific AI product revenue or quantified AI-driven savings were disclosed [2]. Market Share (2/2): KBR is a leading government services contractor with $18.9B in Mission Tech backlog and options, $17B in bids awaiting awards (80% new business), and plans to bid $25B+ in 2026 [1]. The company serves critical defense, intelligence, and space programs with deep institutional relationships. Pipeline (1/2): The planned SpinCo separation of Mission Tech ($5.3B revenue, $18.9B backlog) provides structural clarity, with 82% of 2026 guidance covered by existing contracts and no material recompetes expected [1]. R&amp;D Intensity (0/1): KBR's R&amp;D spending is typical for a government services company — innovation occurs within customer programs rather than through independent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KBR's stated purpose of 'Delivering Solutions, Changing the World' is aspirational but generic — it could describe any large engineering firm. The company's work on defense, space, and decarbonization has genuine societal impact, but the mission statement itself lacks specificity [2]. Community Impact (1/2): KBR employs 36,000 people globally and supports critical national security and sustainability missions. The company achieved carbon neutrality in 2019 and linked ESG objectives to executive compensation starting 2021 [3]. Employee Retention (1/2): Glassdoor rating of 4.0/5.0 with positive marks for work-life balance (4.3) and culture/values (4.1) suggests an above-average workplace. Multiple reviews describe a good company culture, though some cite bureaucratic processes and slow innovation [2]. Insider Buying (1/2): CEO Stuart Bradie has led KBR through its strategic transformation since 2014, maintaining significant equity exposure. The SpinCo announcement shows leadership confidence in unlocking long-term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 trades at a compelling 8.4x forward P/E with a PEG ratio of 0.49, reflecting significant value relative to earnings growth [4]. ROE of 30.7% is strong, driven by leverage — D/E of 191.7% reflects $2.9B in debt against $511M cash, typical of government services companies with stable contract revenue [4]. Profit margin of 5.3% is thin but typical for the engineering/government services sector, with margin expansion demonstrated as Mission Tech EBITDA margins improved from 9.8% to 10.4% [1]. Revenue growth was modestly negative at -10.6% in the most recent quarter but the 3yr CAGR of 5.9% shows steady long-term growth. Operating cash flow of $524M and free cash flow of $298M provide solid coverage of the $0.66/year dividend (payout ratio 18.9%) [4]. Liquidity floor cleared: 1.44M avg volume × $35.23 = $50.7M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KBR has evolved significantly from its Halliburton-era identity into a focused government services and technology company, demonstrating existential flexibility. The planned SpinCo separation shows strategic vision for long-term value creation. However, the bureaucratic culture and risk-averse processes described by employees suggest an organization that plays a steady game rather than a truly infinite one.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KBR's work supporting national defense, space exploration, and decarbonization has genuine purpose, and the company has operated continuously since 1901 — a 125-year track record demonstrates enduring relevance through multiple technological eras [1]. However, the formal mission statement ('Delivering Solutions, Changing the World') is generic and doesn't articulate a specific Just Cause that shapes strategic decisions differently from competitors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4.0/5.0 with strong work-life balance (4.3) and culture/values (4.1) marks suggests a reasonably trusting workplace [2]. Multiple reviews describe good culture and decent management. However, reviews also cite bureaucratic processes, slow innovation, and disconnected upper management, which suggests adequate but not exceptional trust. The 36,000-employee workforce has generally stable leadership under CEO Stuart Bradie since 2014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KBR's planned SpinCo separation acknowledges that different business segments compete best as focused entities — a recognition that rivals in pure-play government services (like Leidos, SAIC) and pure-play technology (like engineering firms) have structural advantages over a conglomerate. This strategic self-awareness, combined with the decision to bid $25B+ in 2026 by improving competitive positioning, reflects a learning-oriented approach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 has undergone meaningful transformation — from a Halliburton subsidiary focused on oil services to an independent government technology and engineering company. The planned SpinCo separation of Mission Tech further evolves the business model [1]. The company achieved carbon neutrality in 2019 and expanded into decarbonization services, showing strategic evolution within its core capabilities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KBR's leadership has not demonstrated pattern-breaking courage. The planned SpinCo separation is a relatively conventional corporate action to unlock value. The company's risk-averse processes and bureaucratic culture noted by employees suggest leadership that prioritizes institutional stability over bold strategic bets [2]. Revenue growth has been modest and the strategic direction follows industry trends rather than defining them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KBR trades at a compelling 8.4x forward P/E with a PEG ratio of 0.49, offering significant value for a defense/government services company with $18.9B in Mission Tech backlog and $17B in bids awaiting awards (80% new business) [1]. The company delivered 52.4% EPS growth in FY2025 with improving Mission Tech EBITDA margins from 9.8% to 10.4%, and 82% of 2026 guidance is covered by existing contracts with no material recompetes [1]. The planned SpinCo separation of Mission Tech ($5.3B revenue, 10.5% EBITDA margins) could unlock substantial conglomerate discount value. Free cash flow of $298M easily covers the $0.66/year dividend (18.9% payout ratio), with capacity for buybacks and debt reduction [4]. ROE of 30.7% demonstrates capital efficiency despite the engineering/services sector's thin operating margins.</w:t>
      </w:r>
    </w:p>
    <w:p>
      <w:pPr>
        <w:spacing w:after="120"/>
      </w:pPr>
      <w:r>
        <w:rPr>
          <w:rFonts w:ascii="Calibri" w:hAnsi="Calibri"/>
          <w:b w:val="0"/>
          <w:color w:val="3A4A28"/>
          <w:sz w:val="20"/>
        </w:rPr>
        <w:t>The bear case centers on revenue volatility and leverage. Q4 2025 revenue declined $223M YoY due to award timing in Mission Tech and UCOM contingency scope reductions, and full-year revenue growth was essentially flat at 1% despite strong EPS growth driven by margin improvement [1]. D/E of 191.7% creates interest expense sensitivity — $2.9B in debt against $511M cash leaves limited balance sheet flexibility if contract awards slow [4]. Profit margin of 5.3% is thin, leaving little room for execution missteps. The SpinCo separation creates near-term uncertainty about organizational structure, stranded costs, and which entity retains which assets/contracts. KBR's traditional engineering culture and bureaucratic processes (noted in Glassdoor reviews) could hinder its ability to compete for technology-intensive contracts requiring rapid AI and digital innovation [2]. Government spending priorities under changing administrations create cyclical risk for defense services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SpinCo separation of Mission Tech ($5.3B revenue, $18.9B backlog) expected to unlock conglomerate discount and create two focused entities with clearer investment profiles [1]</w:t>
      </w:r>
    </w:p>
    <w:p>
      <w:pPr>
        <w:spacing w:before="40" w:after="40"/>
        <w:ind w:left="283"/>
      </w:pPr>
      <w:r>
        <w:rPr>
          <w:rFonts w:ascii="Calibri" w:hAnsi="Calibri"/>
          <w:b/>
          <w:color w:val="4A6B25"/>
          <w:sz w:val="20"/>
        </w:rPr>
        <w:t xml:space="preserve">2. </w:t>
      </w:r>
      <w:r>
        <w:rPr>
          <w:rFonts w:ascii="Calibri" w:hAnsi="Calibri"/>
          <w:b w:val="0"/>
          <w:color w:val="3A4A28"/>
          <w:sz w:val="20"/>
        </w:rPr>
        <w:t>Bidding pipeline expansion to $25B+ in 2026 (double-digit YoY increase) with $17B in bids awaiting awards, 80% representing new business growth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 Mission Tech EBITDA margins improved from 9.8% to 10.4% with further expansion expected as program mix shifts toward higher-value technology 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contract award timing volatility — Q4 2025 revenue declined $223M YoY, and lumpy award patterns create quarterly earnings unpredictability typical of defense contractors [1]</w:t>
      </w:r>
    </w:p>
    <w:p>
      <w:pPr>
        <w:spacing w:before="40" w:after="40"/>
        <w:ind w:left="283"/>
      </w:pPr>
      <w:r>
        <w:rPr>
          <w:rFonts w:ascii="Calibri" w:hAnsi="Calibri"/>
          <w:b/>
          <w:color w:val="4A6B25"/>
          <w:sz w:val="20"/>
        </w:rPr>
        <w:t xml:space="preserve">2. </w:t>
      </w:r>
      <w:r>
        <w:rPr>
          <w:rFonts w:ascii="Calibri" w:hAnsi="Calibri"/>
          <w:b w:val="0"/>
          <w:color w:val="3A4A28"/>
          <w:sz w:val="20"/>
        </w:rPr>
        <w:t>High leverage (D/E 191.7%) with $2.9B in debt creates interest expense sensitivity and limits balance sheet flexibility if contract revenue declines [4]</w:t>
      </w:r>
    </w:p>
    <w:p>
      <w:pPr>
        <w:spacing w:before="40" w:after="40"/>
        <w:ind w:left="283"/>
      </w:pPr>
      <w:r>
        <w:rPr>
          <w:rFonts w:ascii="Calibri" w:hAnsi="Calibri"/>
          <w:b/>
          <w:color w:val="4A6B25"/>
          <w:sz w:val="20"/>
        </w:rPr>
        <w:t xml:space="preserve">3. </w:t>
      </w:r>
      <w:r>
        <w:rPr>
          <w:rFonts w:ascii="Calibri" w:hAnsi="Calibri"/>
          <w:b w:val="0"/>
          <w:color w:val="3A4A28"/>
          <w:sz w:val="20"/>
        </w:rPr>
        <w:t>SpinCo separation execution risk — organizational restructuring could cause talent attrition, stranded costs, and customer uncertainty during the transition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KBR's core business — government defense/intelligence services, space programs, and sustainable technology solutions — involves physical-world engineering, classified government work, and deeply regulated processes that AI cannot easily substitute [1]. The $18.9B Mission Tech backlog is protected by security clearances, long-term government contracts, and institutional relationships that create high switching costs. However, some engineering design and analysis functions could face AI-driven efficiency pressure, and competitors with better AI capabilities could win future contracts. Glassdoor reviews note innovation moves slowly due to legacy systems and risk-averse processes [2]. AI Opportunity (1/1): KBR provides digitally-enabled monitoring solutions and data analytics services to defense/intelligence clients, generating some AI-adjacent revenue through its technology and mission support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KBR Q4 2025 Earnings Release and investor presentation — $7.79B revenue, SpinCo announcement, Mission Tech backlog and bidding pipeline,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for KBR — 4.0/5.0 rating, 3,153 reviews, culture and leadership commentary</w:t>
      </w:r>
    </w:p>
    <w:p>
      <w:pPr>
        <w:spacing w:before="20" w:after="20"/>
        <w:ind w:left="170"/>
      </w:pPr>
      <w:r>
        <w:rPr>
          <w:rFonts w:ascii="Calibri" w:hAnsi="Calibri"/>
          <w:b/>
          <w:color w:val="4A6B25"/>
          <w:sz w:val="15"/>
        </w:rPr>
        <w:t xml:space="preserve">3. </w:t>
      </w:r>
      <w:r>
        <w:rPr>
          <w:rFonts w:ascii="Calibri" w:hAnsi="Calibri"/>
          <w:b w:val="0"/>
          <w:color w:val="3A4A28"/>
          <w:sz w:val="17"/>
        </w:rPr>
        <w:t>KBR corporate ESG initiatives — carbon neutrality achievement, ESG-linked executive compensation, sustainability strategy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KBR,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