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KEY</w:t>
      </w:r>
      <w:r>
        <w:rPr>
          <w:rFonts w:ascii="Calibri" w:hAnsi="Calibri"/>
          <w:b/>
          <w:color w:val="1A2010"/>
          <w:sz w:val="40"/>
        </w:rPr>
        <w:t xml:space="preserve">  KeyCorp</w:t>
      </w:r>
    </w:p>
    <w:p>
      <w:pPr>
        <w:spacing w:after="120"/>
      </w:pPr>
      <w:r>
        <w:rPr>
          <w:rFonts w:ascii="Calibri" w:hAnsi="Calibri"/>
          <w:b/>
          <w:color w:val="6E8450"/>
          <w:sz w:val="18"/>
        </w:rPr>
        <w:t>DIVIDEND SLEEVE · 2026-03-24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Banks—Regional · NYSE · United States</w:t>
      </w:r>
    </w:p>
    <w:p>
      <w:pPr>
        <w:spacing w:after="80"/>
      </w:pPr>
      <w:r>
        <w:rPr>
          <w:rFonts w:ascii="Calibri" w:hAnsi="Calibri"/>
          <w:b w:val="0"/>
          <w:color w:val="3A4A28"/>
          <w:sz w:val="20"/>
        </w:rPr>
        <w:t>KeyCorp is one of the largest U.S. bank-based financial services companies, operating through its KeyBank subsidiary with approximately $184 billion in assets, 17,000 employees, and 3.5 million clients across consumer banking, commercial banking, investment banking, and wealth management. A 2024 strategic investment from Scotiabank bolstered capital ratios and enabled the return to consistent EPS growth through 2025.</w:t>
      </w:r>
    </w:p>
    <w:p>
      <w:r>
        <w:rPr>
          <w:rFonts w:ascii="Calibri" w:hAnsi="Calibri"/>
          <w:b/>
          <w:color w:val="6E8450"/>
          <w:sz w:val="18"/>
        </w:rPr>
        <w:t>17,000 Employees · https://www.key.com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KeyCorp's innovation is primarily digital banking modernization rather than disruptive product creation. The company's investment in mobile banking, digital account opening, and commercial banking platforms has driven record full-year revenue of $7.5B in 2025[1]. However, the abrupt resignation of long-tenured CIO Amy Brady in February 2026 creates technology leadership uncertainty—the CFO is now temporarily overseeing tech and operations[2]. KeyCorp lacks disclosed AI products generating external revenue or quantified AI savings. Innovation track record: 1pt (record revenue digital growth). AI deployment: 1pt (AI efficiency tools internally). Market share: 1pt (top-15 U.S. bank). Pipeline: 1pt (branch expansion program). R&amp;D: 0pts. Total: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KeyCorp's mission—to help clients and communities prosper—is specific to banking's community role and connects the institution to local economic development. Mission floor: 2. KeyBank maintains significant community development programs through KeyBank Foundation focused on financial inclusion, affordable housing, and workforce development, qualifying for 1 community impact point. Employee retention: KeyCorp employs 17,000 with stable tenure relative to banking peers. The Scotiabank investment and consistent leadership (CEO Chris Gorman since 2019) provide stability, qualifying for 1 retention point. No insider buying documented, scoring 0. Total: 2 + 1 + 1 + 0 = 4, displayed as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KeyCorp's 2025 financial infrastructure shows meaningful improvement: Q4 2025 adjusted EPS $0.41 (beat $0.38 estimate), record full-year adjusted revenue $7.5B (+16% YoY), net interest margin 2.82%, and $184B in total assets[1]. The company plans $300M+ in quarterly share repurchases. D/E for banks is measured via capital ratios—Tier 1 capital is well above minimums. Dividend yield ~5% with 3 consecutive years of growth following COVID reset. ROE at 12.3%—improving but below the 15% target. Revenue growth +16% YoY in 2025 is above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CEO Gorman has led KeyCorp consistently since 2019 through multiple interest rate cycles, the Scotiabank investment, and now a record revenue year—demonstrating measured, long-term stewardship. The company's community banking mission is genuine and locally validated. However, activist investor pressure in 2026 and CIO departure create uncertainty about whether KeyCorp is being managed for long-term capability or short-term financial metrics.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KeyCorp's 'Helping clients and communities prosper' mission is genuine and community-anchored—the bank is often the primary commercial lender in its mid-Atlantic and Midwest markets. Gorman has articulated a long-term commitment to building a 'diversified financial services company' rather than optimizing for quarterly EPS. Score: 1 point (cause exists, genuinely lived in commercial banking), display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Gorman's consistent leadership since 2019 provides stability, and the Scotiabank investment was managed without cultural disruption. The CIO Amy Brady departure due to health reasons (not governance failure) and the activist investor board engagement suggest governance responsiveness rather than defensiveness. Score: 1 point (adequate trust), display 6.</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Gorman explicitly benchmarks against JPMorgan Chase and regional peers (Huntington, Fifth Third) using their digital capabilities and ROTCE as improvement targets. The $300M quarterly buyback reflects confidence inspired by peer bank capital return programs. Score: 1 point, display 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KeyCorp's evolution from a primarily consumer bank to a balanced commercial/investment banking platform—expanding KeyBanc Capital Markets and wealth management—represents meaningful strategic adaptation. The Scotiabank investment was a pragmatic capital solution that enabled strategic flexibility. Score: 1 point (some flexibility), display 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Gorman's decision to accept Scotiabank's strategic investment (rather than diluting further through equity offerings) and then execute on the return to capital return programs ($300M+ quarterly buybacks) within 18 months demonstrates financial courage and long-term capital management discipline. Score: 1 point (some courageous decisions), display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KeyCorp's record 2025 revenue of $7.5B (+16% YoY adjusted) and return to consistent EPS growth demonstrates that the Scotiabank capital infusion strategy is working—the bank now has the capital ratios to compete aggressively for commercial and institutional relationships[1]. At 11x forward earnings and 5% dividend yield, the stock offers attractive risk-adjusted returns for income-oriented investors. Management's commitment to $300M+ quarterly buybacks signals confidence that the earnings trajectory is sustainable. The NIM improvement (from 2.41% to 2.82%) driven by rate cycle management provides multi-year earnings support.</w:t>
      </w:r>
    </w:p>
    <w:p>
      <w:pPr>
        <w:spacing w:after="120"/>
      </w:pPr>
      <w:r>
        <w:rPr>
          <w:rFonts w:ascii="Calibri" w:hAnsi="Calibri"/>
          <w:b w:val="0"/>
          <w:color w:val="3A4A28"/>
          <w:sz w:val="20"/>
        </w:rPr>
        <w:t>The bear case is that KeyCorp faces multiple headwinds simultaneously: activist investor pressure that may force strategic changes, CIO vacancy creating technology leadership uncertainty at a critical digital investment moment, and mid-single-digit loan growth guidance implying modest commercial banking expansion[2]. The 3 consecutive years of dividend growth following a 2020 COVID cut is a thin foundation compared to regional bank peers (Huntington, Fifth Third) that maintained dividends. If the U.S. economy softens in 2026, KeyCorp's commercial real estate and construction loan portfolio (&gt;20% of loans) faces credit quality deterioration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CIO vacancy resolved with a technology leader who can accelerate AI deployment and digital banking investment, removing the 2026 technology execution risk</w:t>
      </w:r>
    </w:p>
    <w:p>
      <w:pPr>
        <w:spacing w:before="40" w:after="40"/>
        <w:ind w:left="283"/>
      </w:pPr>
      <w:r>
        <w:rPr>
          <w:rFonts w:ascii="Calibri" w:hAnsi="Calibri"/>
          <w:b/>
          <w:color w:val="4A6B25"/>
          <w:sz w:val="20"/>
        </w:rPr>
        <w:t xml:space="preserve">2. </w:t>
      </w:r>
      <w:r>
        <w:rPr>
          <w:rFonts w:ascii="Calibri" w:hAnsi="Calibri"/>
          <w:b w:val="0"/>
          <w:color w:val="3A4A28"/>
          <w:sz w:val="20"/>
        </w:rPr>
        <w:t>Commercial loan growth reaching the upper end of the 1-2% full-year guidance (5% commercial loan growth) as the Scotiabank relationship network generates new business</w:t>
      </w:r>
    </w:p>
    <w:p>
      <w:pPr>
        <w:spacing w:before="40" w:after="40"/>
        <w:ind w:left="283"/>
      </w:pPr>
      <w:r>
        <w:rPr>
          <w:rFonts w:ascii="Calibri" w:hAnsi="Calibri"/>
          <w:b/>
          <w:color w:val="4A6B25"/>
          <w:sz w:val="20"/>
        </w:rPr>
        <w:t xml:space="preserve">3. </w:t>
      </w:r>
      <w:r>
        <w:rPr>
          <w:rFonts w:ascii="Calibri" w:hAnsi="Calibri"/>
          <w:b w:val="0"/>
          <w:color w:val="3A4A28"/>
          <w:sz w:val="20"/>
        </w:rPr>
        <w:t>Activist investor pressure resulting in governance improvements rather than costly strategic changes, validating the board's self-correcting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Activist investor campaign escalating to require CEO change or strategic sale, creating significant management distraction and potential value destruction</w:t>
      </w:r>
    </w:p>
    <w:p>
      <w:pPr>
        <w:spacing w:before="40" w:after="40"/>
        <w:ind w:left="283"/>
      </w:pPr>
      <w:r>
        <w:rPr>
          <w:rFonts w:ascii="Calibri" w:hAnsi="Calibri"/>
          <w:b/>
          <w:color w:val="4A6B25"/>
          <w:sz w:val="20"/>
        </w:rPr>
        <w:t xml:space="preserve">2. </w:t>
      </w:r>
      <w:r>
        <w:rPr>
          <w:rFonts w:ascii="Calibri" w:hAnsi="Calibri"/>
          <w:b w:val="0"/>
          <w:color w:val="3A4A28"/>
          <w:sz w:val="20"/>
        </w:rPr>
        <w:t>Commercial real estate credit deterioration—KeyCorp's CRE exposure at &gt;20% of loans in a period of rising office vacancy rates and declining industrial demand</w:t>
      </w:r>
    </w:p>
    <w:p>
      <w:pPr>
        <w:spacing w:before="40" w:after="40"/>
        <w:ind w:left="283"/>
      </w:pPr>
      <w:r>
        <w:rPr>
          <w:rFonts w:ascii="Calibri" w:hAnsi="Calibri"/>
          <w:b/>
          <w:color w:val="4A6B25"/>
          <w:sz w:val="20"/>
        </w:rPr>
        <w:t xml:space="preserve">3. </w:t>
      </w:r>
      <w:r>
        <w:rPr>
          <w:rFonts w:ascii="Calibri" w:hAnsi="Calibri"/>
          <w:b w:val="0"/>
          <w:color w:val="3A4A28"/>
          <w:sz w:val="20"/>
        </w:rPr>
        <w:t>Fed rate cuts beyond the 2-3 assumed in management guidance compressing NIM from the improved 2.82% level, reducing NII materially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Regional banking faces moderate AI disruption risk from fintech competitors—neobanks (Chime, SoFi), embedded finance platforms, and AI-powered lending algorithms are gradually encroaching on consumer banking markets where KeyBank competes. However, KeyCorp's commercial banking, investment banking, and wealth management businesses benefit from relationship-based services and regulatory protection that AI cannot easily displace. The company is deploying AI for efficiency but lacks the scale of JPMorgan's AI investment. CIO departure in 2026 creates temporary technology leadership risk. Risk protection: 6 (PROTECTED for commercial/institutional; EXPOSED for consumer segments). AI opportunity: 0. Total: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KeyCorp Q4 2025 Earnings Release, January 2026</w:t>
      </w:r>
    </w:p>
    <w:p>
      <w:pPr>
        <w:spacing w:before="20" w:after="20"/>
        <w:ind w:left="170"/>
      </w:pPr>
      <w:r>
        <w:rPr>
          <w:rFonts w:ascii="Calibri" w:hAnsi="Calibri"/>
          <w:b/>
          <w:color w:val="4A6B25"/>
          <w:sz w:val="15"/>
        </w:rPr>
        <w:t xml:space="preserve">2. </w:t>
      </w:r>
      <w:r>
        <w:rPr>
          <w:rFonts w:ascii="Calibri" w:hAnsi="Calibri"/>
          <w:b w:val="0"/>
          <w:color w:val="3A4A28"/>
          <w:sz w:val="17"/>
        </w:rPr>
        <w:t>KeyCorp CIO Amy Brady Resignation, American Banker, February 2026</w:t>
      </w:r>
    </w:p>
    <w:p>
      <w:pPr>
        <w:spacing w:before="20" w:after="20"/>
        <w:ind w:left="170"/>
      </w:pPr>
      <w:r>
        <w:rPr>
          <w:rFonts w:ascii="Calibri" w:hAnsi="Calibri"/>
          <w:b/>
          <w:color w:val="4A6B25"/>
          <w:sz w:val="15"/>
        </w:rPr>
        <w:t xml:space="preserve">3. </w:t>
      </w:r>
      <w:r>
        <w:rPr>
          <w:rFonts w:ascii="Calibri" w:hAnsi="Calibri"/>
          <w:b w:val="0"/>
          <w:color w:val="3A4A28"/>
          <w:sz w:val="17"/>
        </w:rPr>
        <w:t>KeyCorp CEO Christopher Gorman Biography, key.com,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KeyBank Foundation Community Programs, key.com,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KEY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