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KGC</w:t>
      </w:r>
      <w:r>
        <w:rPr>
          <w:rFonts w:ascii="Calibri" w:hAnsi="Calibri"/>
          <w:b/>
          <w:color w:val="1A2010"/>
          <w:sz w:val="40"/>
        </w:rPr>
        <w:t xml:space="preserve">  Kinross Gold Corporation</w:t>
      </w:r>
    </w:p>
    <w:p>
      <w:pPr>
        <w:spacing w:after="120"/>
      </w:pPr>
      <w:r>
        <w:rPr>
          <w:rFonts w:ascii="Calibri" w:hAnsi="Calibri"/>
          <w:b/>
          <w:color w:val="6E8450"/>
          <w:sz w:val="18"/>
        </w:rPr>
        <w:t>GROWTH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Kinross Gold Corporation is a Canadian senior gold mining company operating mines and projects across the Americas, West Africa, and the Middle East. The company produces approximately 2 million gold equivalent ounces annually from operations including Fort Knox (Alaska), Paracatu (Brazil), Tasiast (Mauritania), and the Great Bear project in Ontario.</w:t>
      </w:r>
    </w:p>
    <w:p>
      <w:r>
        <w:rPr>
          <w:rFonts w:ascii="Calibri" w:hAnsi="Calibri"/>
          <w:b/>
          <w:color w:val="6E8450"/>
          <w:sz w:val="18"/>
        </w:rPr>
        <w:t>9,000 Employees · https://www.kinross.com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Kinross has demonstrated operational innovation through fleet electrification, energy-efficient plant retrofits, and advanced water recycling systems deployed at 70%+ of mine operations [1]. The company's Great Bear project in Ontario represents a strategic pivot to high-grade Canadian assets, shedding the 'risky' geopolitical profile after exiting Russia in 2022. However, gold mining is an inherently mature industry with limited scope for disruptive innovation — improvements are incremental in extraction efficiency, grade optimization, and cost management.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Kinross has earned recognition in the S&amp;P Global Sustainability Yearbook for 12 consecutive years and scored in the 94th percentile in Moody's ESG rankings, reflecting genuine commitment to responsible mining [1]. The company's 30% GHG reduction target by 2030 and net-zero by 2040 commitments are industry-leading. However, gold mining's fundamental purpose — extracting precious metals — lacks the aspirational quality of companies solving human challenges, and the company's 32-year tailings breach-free record, while commendable, reflects basic operational competence.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Kinross delivers exceptional financial metrics across every dimension: D/E of just 8.7% (near-zero leverage), ROE of 31.5%, profit margin of 33.9%, forward P/E of 8.2x, revenue growth of 42.9% YoY, and 26.8% 3-year CAGR driven by surging gold prices and production growth [2]. The company has been called the 'sector's new cash flow king' with disciplined capital allocation and a growing dividend (recently increased from $0.03 to $0.04 quarterly) [1]. This is the strongest financial profile possible for a gold miner.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Kinross demonstrates moderate infinite-game characteristics through its long-term sustainability commitments, responsible mine closure planning, and strategic repositioning toward stable Canadian jurisdictions after exiting Russia. The company's 32-year tailings breach-free record reflects patient, safety-first operations. However, gold mining is inherently extractive with finite mine lives, creating a natural tension with infinite-game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Kinross's sustainability strategy built on three pillars — Workforce and Community, Natural Capital, and Climate and Energy — provides structure but lacks the transformative purpose needed for a compelling just cause [1]. Gold mining serves financial markets and jewelry demand, not a transcendent human need, though the company's community development programs in host countries add social value.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Kinross's 12 consecutive years in the S&amp;P Sustainability Yearbook and top governance rankings among Canadian miners suggest strong internal culture. The appointment of Ms. MacGibbon to the board in November 2025 with ESG expertise signals governance evolution [1]. Employee safety metrics and community engagement programs in mining jurisdictions demonstrate stakeholder orientation.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Kinross competes against Barrick Gold, Newmont, Agnico Eagle, and Gold Fields, using their operational benchmarks to improve. The company's exit from Russia and acquisition of Great Bear represent strategic responses to rival positioning in stable jurisdictions, showing willingness to learn from competitors' geographic strategies.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Kinross demonstrated significant existential flexibility by divesting its Russian assets in 2022 and pivoting to the high-grade Great Bear project in Ontario, fundamentally repositioning its risk profile from emerging market exposure to stable Canadian jurisdiction [1]. The company's evolution from an over-leveraged, geographically dispersed miner to a capital-disciplined, focused producer represents a genuine strategic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Russia exit required courage — walking away from significant assets during a geopolitical crisis. The commitment to net-zero by 2040 in an extractive industry and the 30% GHG reduction target by 2030 demonstrate willingness to invest in sustainability ahead of regulatory requirements [1]. However, these commitments benefit from rising gold prices masking the cost of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Kinross Gold offers the strongest financial profile in the senior gold mining sector: 8.7% D/E (near zero leverage), 31.5% ROE, 33.9% profit margins, and a forward P/E of just 8.2x despite 42.9% revenue growth and 238% EPS growth in 2025 [2]. The company has been recognized as the 'sector's new cash flow king' following its strategic pivot to high-grade Canadian assets (Great Bear) and exit from Russia [1]. The recently increased dividend (33% hike) and capital discipline signal shareholder-friendly management. With gold prices at record levels and central banks continuing to accumulate reserves, Kinross's production base provides significant earnings leverage.</w:t>
      </w:r>
    </w:p>
    <w:p>
      <w:pPr>
        <w:spacing w:after="120"/>
      </w:pPr>
      <w:r>
        <w:rPr>
          <w:rFonts w:ascii="Calibri" w:hAnsi="Calibri"/>
          <w:b w:val="0"/>
          <w:color w:val="3A4A28"/>
          <w:sz w:val="20"/>
        </w:rPr>
        <w:t>The bear case centers on gold price dependency — Kinross's exceptional 2025 results were driven primarily by ~30%+ gold price appreciation rather than operational outperformance, and a gold price correction to $1,800/oz from current ~$2,300+ levels would dramatically compress margins and revenue [2]. The company's 0.48% dividend yield provides minimal income support if gold declines. The Great Bear project, while promising, requires significant capital expenditure and faces development execution risk. Historical issues at Tasiast and Maricunga demonstrate that gold mining carries ongoing operational, environmental, and geopolitical risks that can destroy value rapidly. Revenue CAGR of 26.8% is not sustainable as it reflects gold price inflation rather than organic production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gold price strength above $2,300/oz driven by central bank buying, geopolitical uncertainty, and inflation hedging demand, sustaining Kinross's 34% profit margins</w:t>
      </w:r>
    </w:p>
    <w:p>
      <w:pPr>
        <w:spacing w:before="40" w:after="40"/>
        <w:ind w:left="283"/>
      </w:pPr>
      <w:r>
        <w:rPr>
          <w:rFonts w:ascii="Calibri" w:hAnsi="Calibri"/>
          <w:b/>
          <w:color w:val="4A6B25"/>
          <w:sz w:val="20"/>
        </w:rPr>
        <w:t xml:space="preserve">2. </w:t>
      </w:r>
      <w:r>
        <w:rPr>
          <w:rFonts w:ascii="Calibri" w:hAnsi="Calibri"/>
          <w:b w:val="0"/>
          <w:color w:val="3A4A28"/>
          <w:sz w:val="20"/>
        </w:rPr>
        <w:t>Great Bear project development progressing on schedule, potentially adding 500K+ gold equivalent ounces annually at low all-in sustaining costs when operational [1]</w:t>
      </w:r>
    </w:p>
    <w:p>
      <w:pPr>
        <w:spacing w:before="40" w:after="40"/>
        <w:ind w:left="283"/>
      </w:pPr>
      <w:r>
        <w:rPr>
          <w:rFonts w:ascii="Calibri" w:hAnsi="Calibri"/>
          <w:b/>
          <w:color w:val="4A6B25"/>
          <w:sz w:val="20"/>
        </w:rPr>
        <w:t xml:space="preserve">3. </w:t>
      </w:r>
      <w:r>
        <w:rPr>
          <w:rFonts w:ascii="Calibri" w:hAnsi="Calibri"/>
          <w:b w:val="0"/>
          <w:color w:val="3A4A28"/>
          <w:sz w:val="20"/>
        </w:rPr>
        <w:t>Further dividend increases and potential share buyback program as free cash flow generation accelerates under disciplined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correction — a decline to $1,800/oz would compress profit margins by approximately 50% and eliminate the earnings growth thesis, given Kinross's AISC of ~$1,100-1,200/oz</w:t>
      </w:r>
    </w:p>
    <w:p>
      <w:pPr>
        <w:spacing w:before="40" w:after="40"/>
        <w:ind w:left="283"/>
      </w:pPr>
      <w:r>
        <w:rPr>
          <w:rFonts w:ascii="Calibri" w:hAnsi="Calibri"/>
          <w:b/>
          <w:color w:val="4A6B25"/>
          <w:sz w:val="20"/>
        </w:rPr>
        <w:t xml:space="preserve">2. </w:t>
      </w:r>
      <w:r>
        <w:rPr>
          <w:rFonts w:ascii="Calibri" w:hAnsi="Calibri"/>
          <w:b w:val="0"/>
          <w:color w:val="3A4A28"/>
          <w:sz w:val="20"/>
        </w:rPr>
        <w:t>Great Bear development execution risk — capital cost overruns, permitting delays, or lower-than-expected grades could disappoint the market and impair the company's growth pipeline</w:t>
      </w:r>
    </w:p>
    <w:p>
      <w:pPr>
        <w:spacing w:before="40" w:after="40"/>
        <w:ind w:left="283"/>
      </w:pPr>
      <w:r>
        <w:rPr>
          <w:rFonts w:ascii="Calibri" w:hAnsi="Calibri"/>
          <w:b/>
          <w:color w:val="4A6B25"/>
          <w:sz w:val="20"/>
        </w:rPr>
        <w:t xml:space="preserve">3. </w:t>
      </w:r>
      <w:r>
        <w:rPr>
          <w:rFonts w:ascii="Calibri" w:hAnsi="Calibri"/>
          <w:b w:val="0"/>
          <w:color w:val="3A4A28"/>
          <w:sz w:val="20"/>
        </w:rPr>
        <w:t>Geopolitical and environmental risks at international operations — Tasiast (Mauritania) and Manh Choh (Alaska trucking routes) face ongoing regulatory scrutiny and community opposition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provides moderate operational benefits to gold mining — autonomous haulage, predictive maintenance, ore grade optimization, and exploration data analysis are all areas where AI can improve efficiency and reduce costs [1]. However, Kinross's core business is fundamentally driven by gold prices and geological factors rather than technology differentiation. AI cannot disrupt the physical process of extracting gold from rock, providing natural protection, but neither does it create significant competitive advantages in a commodity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FinancialContent — 'The Renaissance of Kinross Gold: A 2026 Deep-Dive into the Sector's New Cash Flow King',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KGC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Kinross Gold Sustainability Report 2025 and ESG Analyst Centre</w:t>
      </w:r>
    </w:p>
    <w:p>
      <w:pPr>
        <w:spacing w:before="20" w:after="20"/>
        <w:ind w:left="170"/>
      </w:pPr>
      <w:r>
        <w:rPr>
          <w:rFonts w:ascii="Calibri" w:hAnsi="Calibri"/>
          <w:b/>
          <w:color w:val="4A6B25"/>
          <w:sz w:val="15"/>
        </w:rPr>
        <w:t xml:space="preserve">4. </w:t>
      </w:r>
      <w:r>
        <w:rPr>
          <w:rFonts w:ascii="Calibri" w:hAnsi="Calibri"/>
          <w:b w:val="0"/>
          <w:color w:val="3A4A28"/>
          <w:sz w:val="17"/>
        </w:rPr>
        <w:t>Farmonaut — 'Kinross Gold KGC: 2026 Sustainability at Kinross Mine'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