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KHC</w:t>
      </w:r>
      <w:r>
        <w:rPr>
          <w:rFonts w:ascii="Calibri" w:hAnsi="Calibri"/>
          <w:b/>
          <w:color w:val="1A2010"/>
          <w:sz w:val="40"/>
        </w:rPr>
        <w:t xml:space="preserve">  The Kraft Heinz Company</w:t>
      </w:r>
    </w:p>
    <w:p>
      <w:pPr>
        <w:spacing w:after="120"/>
      </w:pPr>
      <w:r>
        <w:rPr>
          <w:rFonts w:ascii="Calibri" w:hAnsi="Calibri"/>
          <w:b/>
          <w:color w:val="6E8450"/>
          <w:sz w:val="18"/>
        </w:rPr>
        <w:t>DIVIDEND SLEEVE · 2026-03-24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Packaged Foods · NASDAQ · United States</w:t>
      </w:r>
    </w:p>
    <w:p>
      <w:pPr>
        <w:spacing w:after="80"/>
      </w:pPr>
      <w:r>
        <w:rPr>
          <w:rFonts w:ascii="Calibri" w:hAnsi="Calibri"/>
          <w:b w:val="0"/>
          <w:color w:val="3A4A28"/>
          <w:sz w:val="20"/>
        </w:rPr>
        <w:t>The Kraft Heinz Company is one of the largest food and beverage companies globally, owning iconic brands including Kraft, Heinz, Oscar Mayer, Philadelphia, Maxwell House, and Capri Sun. Formed from the 3G Capital/Berkshire Hathaway merger in 2015, the company is executing a 'profitable growth' strategy under new CEO Steve Cahillane, pausing the planned company breakup and instead investing $600M in commercial brand revitalization.</w:t>
      </w:r>
    </w:p>
    <w:p>
      <w:r>
        <w:rPr>
          <w:rFonts w:ascii="Calibri" w:hAnsi="Calibri"/>
          <w:b/>
          <w:color w:val="6E8450"/>
          <w:sz w:val="18"/>
        </w:rPr>
        <w:t>36,000 Employees · https://www.kraftheinzcompany.com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Kraft Heinz has struggled with product innovation for years—the 3G Capital cost-cutting approach that dominated management from 2015-2022 systematically underfunded R&amp;D and brand investment. FY2025 revenue declined 3.5% YoY to $24.94B, organic net sales fell 3.4%, and adjusted EPS was $2.60 (down 15% YoY)[1]. CEO Cahillane's $600M commercial investment plan includes only 'half on price/product/packaging and rest on marketing/R&amp;D/sales'—implying modest R&amp;D reallocation rather than transformational innovation. No AI deployment with quantified results. Innovation track record: 1pt (product extensions in existing categories). AI deployment: 0. Market share: 1pt (dominant in legacy categories). Pipeline: 1pt ($600M investment with some product development allocation). R&amp;D: 0pts. Total: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Kraft Heinz's mission—to sustainably grow food brands people love—is clear and connects to genuine consumer benefit. Mission floor: 2. The company has philanthropic programs (Kraft Heinz Foundation) focused on food access and hunger relief—meaningful given the company's food brand portfolio, qualifying for 1 community impact point. Employee sentiment has been significantly damaged by the 3G Capital cost-cutting era and multiple executive transitions; retention scoring below industry average, scoring 0. CEO Cahillane joined in 2023 and no significant insider buying is documented in the review period, scoring 0. Total: 2 + 1 + 0 + 0 = 3, displayed as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Kraft Heinz's financial infrastructure is pressured: FY2025 revenue $24.94B (-3.5% YoY), GAAP diluted EPS -$4.93 (driven by impairment), adjusted EPS $2.60 (-15% YoY), gross margin 33.3% (-140bps)[1]. FY2026 guidance of $1.98-2.10 adjusted EPS is well below the $2.51 consensus, a significant miss that signals continued near-term headwinds. D/E is elevated (~100%+) from acquisition financing. Dividend yield is ~6.6% but payout ratio is high at $1.60 annual dividend against $2.10 guided EPS (76% payout ratio). The company has paid dividends consistently since the 2015 merger. Infrastructure scoring: D/E penalty, negative revenue growth penalty, payout ratio slightly elevated.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Kraft Heinz's formation in 2015 was driven by 3G Capital's financial engineering philosophy—a pure finite game playbook of cost extraction, ZBB, and short-term profit maximization that destroyed brand investment and long-term capability. Cahillane represents a genuine correction toward infinite game thinking, but the company has operated in finite mode for a decade and rebuilding cannot happen quickly. The Just Cause has never been clearly articulated beyond 'build great food brands,' and the company's history of brand neglect undermines trust.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Kraft Heinz has never articulated a distinctive Just Cause. The company was formed primarily for financial engineering purposes, and while it owns beloved brands, there is no organizational purpose beyond 'profitable food brand management.' Cahillane's 'profitable growth' pivot is a financial objective, not a purpose. Score: 0 points (no Just Cause evident), display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3G Capital era was defined by aggressive ZBB (zero-based budgeting), headcount reduction, and fear-based financial discipline that is the antithesis of Sinek's Circle of Safety. Cahillane's turnaround involves culture change, but the organizational muscle memory of cost-cutting over innovation persists. Score: 0 points (low-trust legacy environment), display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Kraft Heinz's competitive language has historically been about 'winning categories' through pricing and distribution—finite game framing. The $600M reinvestment plan acknowledges that competitors' brand investment forced the company to respond, which is some worthy rival recognition, but it is reactive rather than proactive. Score: 0 points (finite competitive mindset), display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2026 decision to pause the company breakup and instead invest in brand recovery is a meaningful strategic pivot—acknowledging that the financial engineering play is exhausted and that organic brand investment is the only path to value creation. Score: 1 point (some flexibility in abandoning the separation strategy),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Cahillane's decision to issue 2026 guidance of $1.98-2.10 EPS (vs. $2.51 consensus expectation) and invest $600M in below-the-line commercial spend rather than defending near-term earnings is a form of courage—accepting a stock-price cost for multi-year brand repair. Score: 1 point (some courageous decisions),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 12x forward earnings and 6.6% dividend yield, Kraft Heinz is priced for near-zero growth—creating potential upside if CEO Cahillane's $600M brand investment generates a measurable trend inflection in H2 2026[1]. The company's owned brands (Kraft, Heinz, Philadelphia, Oscar Mayer) have durable consumer recognition that has survived years of underinvestment, suggesting latent brand equity that reinvestment can reactivate. Berkshire Hathaway's substantial ownership (~26%) provides financial backstop and aligns the company with long-term value creation over financial engineering.</w:t>
      </w:r>
    </w:p>
    <w:p>
      <w:pPr>
        <w:spacing w:after="120"/>
      </w:pPr>
      <w:r>
        <w:rPr>
          <w:rFonts w:ascii="Calibri" w:hAnsi="Calibri"/>
          <w:b w:val="0"/>
          <w:color w:val="3A4A28"/>
          <w:sz w:val="20"/>
        </w:rPr>
        <w:t>The bear case is that Kraft Heinz's $600M investment plan—combined with $1.60 annual dividend on ~$2.10 guided EPS—leaves minimal free cash flow for deleveraging or further investment, creating a financial trap. The 2026 EPS guidance miss ($1.98-2.10 vs. $2.51 consensus) and SNAP funding cuts (13% of U.S. retail sales affected) suggest the headwinds are structural, not cyclical[1]. Consumer trend away from processed/packaged foods is a secular threat that $600M in brand marketing cannot reverse. Organic net sales have declined for three consecutive years—a pattern that rarely reverses without product innovation, which Kraft Heinz has historically underfunded.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Measurable organic net sales trend inflection in Q3-Q4 2026 following the $600M commercial investment, signaling brand recovery</w:t>
      </w:r>
    </w:p>
    <w:p>
      <w:pPr>
        <w:spacing w:before="40" w:after="40"/>
        <w:ind w:left="283"/>
      </w:pPr>
      <w:r>
        <w:rPr>
          <w:rFonts w:ascii="Calibri" w:hAnsi="Calibri"/>
          <w:b/>
          <w:color w:val="4A6B25"/>
          <w:sz w:val="20"/>
        </w:rPr>
        <w:t xml:space="preserve">2. </w:t>
      </w:r>
      <w:r>
        <w:rPr>
          <w:rFonts w:ascii="Calibri" w:hAnsi="Calibri"/>
          <w:b w:val="0"/>
          <w:color w:val="3A4A28"/>
          <w:sz w:val="20"/>
        </w:rPr>
        <w:t>Debt reduction accelerating as cost savings ($600M+ targeted) create cash flow for deleveraging, improving financial flexibility</w:t>
      </w:r>
    </w:p>
    <w:p>
      <w:pPr>
        <w:spacing w:before="40" w:after="40"/>
        <w:ind w:left="283"/>
      </w:pPr>
      <w:r>
        <w:rPr>
          <w:rFonts w:ascii="Calibri" w:hAnsi="Calibri"/>
          <w:b/>
          <w:color w:val="4A6B25"/>
          <w:sz w:val="20"/>
        </w:rPr>
        <w:t xml:space="preserve">3. </w:t>
      </w:r>
      <w:r>
        <w:rPr>
          <w:rFonts w:ascii="Calibri" w:hAnsi="Calibri"/>
          <w:b w:val="0"/>
          <w:color w:val="3A4A28"/>
          <w:sz w:val="20"/>
        </w:rPr>
        <w:t>New product launches in growing categories (plant-based, better-for-you, international) demonstrating that R&amp;D investment is generating real innovation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SNAP benefit cuts reducing 13% of U.S. retail sales exposure, with ~100bps headwind per point of SNAP reduction—compounding revenue declines beyond guidance</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at $1.60/share against $1.98-2.10 guided EPS (76%+ payout ratio) if organic revenue decline continues into 2027, forcing a dividend cut</w:t>
      </w:r>
    </w:p>
    <w:p>
      <w:pPr>
        <w:spacing w:before="40" w:after="40"/>
        <w:ind w:left="283"/>
      </w:pPr>
      <w:r>
        <w:rPr>
          <w:rFonts w:ascii="Calibri" w:hAnsi="Calibri"/>
          <w:b/>
          <w:color w:val="4A6B25"/>
          <w:sz w:val="20"/>
        </w:rPr>
        <w:t xml:space="preserve">3. </w:t>
      </w:r>
      <w:r>
        <w:rPr>
          <w:rFonts w:ascii="Calibri" w:hAnsi="Calibri"/>
          <w:b w:val="0"/>
          <w:color w:val="3A4A28"/>
          <w:sz w:val="20"/>
        </w:rPr>
        <w:t>3G Capital-era brand neglect proving irreversible in categories where challenger brands (simple mills, Chobani) have permanently captured shelf space and consumer preference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Kraft Heinz's core business—branded packaged food manufacturing and distribution—is structurally immune to AI substitution (consumers eat physical food, not AI-generated food). AI is relevant to Kraft Heinz primarily as an operational efficiency tool for supply chain optimization, demand forecasting, and marketing personalization. The company faces competitive risk from AI-powered challenger brands using data-driven new product development to chip away at legacy categories (e.g., clean-label brands). However, Kraft's distribution network and retail shelf presence are deeply entrenched. Risk protection: 6 (PROTECTED—physical food consumption immune to substitution; AI primarily enables adjacent competition). AI opportunity: 0. Total: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Kraft Heinz Q4 and Full-Year 2025 Earnings Press Release, February 11, 2026</w:t>
      </w:r>
    </w:p>
    <w:p>
      <w:pPr>
        <w:spacing w:before="20" w:after="20"/>
        <w:ind w:left="170"/>
      </w:pPr>
      <w:r>
        <w:rPr>
          <w:rFonts w:ascii="Calibri" w:hAnsi="Calibri"/>
          <w:b/>
          <w:color w:val="4A6B25"/>
          <w:sz w:val="15"/>
        </w:rPr>
        <w:t xml:space="preserve">2. </w:t>
      </w:r>
      <w:r>
        <w:rPr>
          <w:rFonts w:ascii="Calibri" w:hAnsi="Calibri"/>
          <w:b w:val="0"/>
          <w:color w:val="3A4A28"/>
          <w:sz w:val="17"/>
        </w:rPr>
        <w:t>Kraft Heinz FY2026 Guidance Update, The Markets Daily, February 2026</w:t>
      </w:r>
    </w:p>
    <w:p>
      <w:pPr>
        <w:spacing w:before="20" w:after="20"/>
        <w:ind w:left="170"/>
      </w:pPr>
      <w:r>
        <w:rPr>
          <w:rFonts w:ascii="Calibri" w:hAnsi="Calibri"/>
          <w:b/>
          <w:color w:val="4A6B25"/>
          <w:sz w:val="15"/>
        </w:rPr>
        <w:t xml:space="preserve">3. </w:t>
      </w:r>
      <w:r>
        <w:rPr>
          <w:rFonts w:ascii="Calibri" w:hAnsi="Calibri"/>
          <w:b w:val="0"/>
          <w:color w:val="3A4A28"/>
          <w:sz w:val="17"/>
        </w:rPr>
        <w:t>Kraft Heinz CEO Steve Cahillane $600M Investment Commentary, earnings call, 2026</w:t>
      </w:r>
    </w:p>
    <w:p>
      <w:pPr>
        <w:spacing w:before="20" w:after="20"/>
        <w:ind w:left="170"/>
      </w:pPr>
      <w:r>
        <w:rPr>
          <w:rFonts w:ascii="Calibri" w:hAnsi="Calibri"/>
          <w:b/>
          <w:color w:val="4A6B25"/>
          <w:sz w:val="15"/>
        </w:rPr>
        <w:t xml:space="preserve">4. </w:t>
      </w:r>
      <w:r>
        <w:rPr>
          <w:rFonts w:ascii="Calibri" w:hAnsi="Calibri"/>
          <w:b w:val="0"/>
          <w:color w:val="3A4A28"/>
          <w:sz w:val="17"/>
        </w:rPr>
        <w:t>Kraft Heinz Foundation Community Programs, kraftheinzcompany.com,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KHC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