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KLC</w:t>
      </w:r>
      <w:r>
        <w:rPr>
          <w:rFonts w:ascii="Calibri" w:hAnsi="Calibri"/>
          <w:b/>
          <w:color w:val="1A2010"/>
          <w:sz w:val="40"/>
        </w:rPr>
        <w:t xml:space="preserve">  KinderCare Learning Companies, Inc.</w:t>
      </w:r>
    </w:p>
    <w:p>
      <w:pPr>
        <w:spacing w:after="120"/>
      </w:pPr>
      <w:r>
        <w:rPr>
          <w:rFonts w:ascii="Calibri" w:hAnsi="Calibri"/>
          <w:b/>
          <w:color w:val="6E8450"/>
          <w:sz w:val="18"/>
        </w:rPr>
        <w:t>GROWTH SLEEVE · 2026-05-02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NYSE · United States</w:t>
      </w:r>
    </w:p>
    <w:p>
      <w:pPr>
        <w:spacing w:after="80"/>
      </w:pPr>
      <w:r>
        <w:rPr>
          <w:rFonts w:ascii="Calibri" w:hAnsi="Calibri"/>
          <w:b w:val="0"/>
          <w:color w:val="3A4A28"/>
          <w:sz w:val="20"/>
        </w:rPr>
        <w:t>KinderCare Learning Companies, Inc. provides early childhood education and care services in the United States. The company offers community-based early childhood education for infants through kindergarten students, customized family care benefits for organizations, and back-up care solutions, serving over 365,000 children across approximately 1,500 centers.</w:t>
      </w:r>
    </w:p>
    <w:p>
      <w:r>
        <w:rPr>
          <w:rFonts w:ascii="Calibri" w:hAnsi="Calibri"/>
          <w:b/>
          <w:color w:val="6E8450"/>
          <w:sz w:val="18"/>
        </w:rPr>
        <w:t>35,700 Employees · https://www.kc-learning.com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KinderCare operates primarily a bricks-and-mortar childcare model with limited technological differentiation — the business relies on physical centers, teacher ratios, and curriculum execution rather than innovation-driven moats [1]. The company serves 365,000+ children across ~1,500 centers, demonstrating scale but not innovation leadership. No significant AI deployment, proprietary technology platform, or R&amp;D pipeline was identified in research. The IPO in 2024 brought public market discipline but the service model remains labor-intensive and largely undifferentiated from regional competitors.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are poor: 2.9/5 for culture and values with executive team rated in the bottom 15% of similar-sized companies on Comparably [2]. Employee reviews describe 'terrible inexperienced executive leadership' and 'petty, cut-throat decisions that eliminate talented individuals' [2]. CEO Tom Wyatt returned in December 2025 after Paul Thompson's brief 18-month tenure was terminated — leadership instability undermines mission credibility. While childcare is inherently purpose-driven, the private equity ownership structure prioritizes profit extraction over stakeholder welfare.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Financial profile is distressed: negative profit margin of -4.1%, negative ROE of -13.9%, D/E of 335%, and trailing EPS of -$0.95 [1]. FY2026 guidance is concerning — revenue flat at $2.70-2.75B while adjusted EBITDA drops 25-30% to $210-230M due to same-center occupancy declining 340bps to 64.5% [1]. Forward PE of 14x on projected EPS of $0.10-0.20 implies minimal profitability. The company received $457M in government subsidies in H1 2024, creating policy dependency risk. Stock has fallen from IPO to $4.16.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KinderCare's private equity heritage, leadership instability (3 CEOs in 2 years), declining occupancy, and profit-over-mission governance structure indicate a company playing a finite game focused on financial extraction rather than long-term value creation.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Caring for and educating young children is an inherently noble cause, and KinderCare's scale (365,000+ children) provides meaningful societal impact [1]. However, S&amp;P Global noted the company's 'highly leveraged financial risk profile points to corporate decision-making that prioritizes controlling owners' interests' over stakeholder welfare [3]. The disconnect between mission rhetoric and private equity profit extraction undermines Just Cause authenticity.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culture rating of 2.9/5 and executive team in bottom 15% of peers signal severe trust deficits [2]. Employee reviews describe 'behind door conversations' and 'cut-throat decisions,' indicating psychological unsafety. Three CEO changes in two years (Wyatt out June 2024, Thompson in, Thompson out December 2025, Wyatt back) create organizational whiplash that destroys team trust and continuity.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KinderCare competes against Bright Horizons, Learning Care Group, and thousands of independent providers [1]. Same-center occupancy declining to 64.5% while the industry faces labor shortages suggests the company is losing competitive positioning [1]. The Senate investigation into private equity childcare ownership creates reputational disadvantage versus mission-driven or employer-sponsored alternatives.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shown some flexibility through employer-sponsored backup care solutions and customized corporate benefits packages beyond traditional center-based care [1]. However, the massive debt load (D/E 335%) and 1,500-center physical footprint severely constrain strategic flexibility. The heavy reliance on government subsidies ($457M in H1 2024) creates policy dependency rather than self-directed adaptability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Returning to a previous CEO (Wyatt, December 2025) after a failed leadership transition demonstrates risk aversion rather than courageous forward movement [2]. The company has not shown courage on the industry's fundamental challenges — teacher compensation, affordability crisis, or quality innovation. Regulatory citations for supervision failures and ratio violations across multiple states suggest operational courage deficit in child safety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KinderCare addresses a critical societal need — affordable, quality childcare for 365,000+ children — with an Inspire score of 30 (ALIGNED) reflecting positive positioning across customer welfare and accessibility. The recent stock decline to $4.16 from IPO levels creates potential deep-value optionality if occupancy stabilizes and the EBITDA trajectory improves under returning CEO Wyatt.</w:t>
      </w:r>
    </w:p>
    <w:p>
      <w:pPr>
        <w:spacing w:after="120"/>
      </w:pPr>
      <w:r>
        <w:rPr>
          <w:rFonts w:ascii="Calibri" w:hAnsi="Calibri"/>
          <w:b w:val="0"/>
          <w:color w:val="3A4A28"/>
          <w:sz w:val="20"/>
        </w:rPr>
        <w:t>However, the investment case is severely challenged: EBITDA guidance declining 25-30% in FY2026, same-center occupancy falling 340bps, D/E of 335%, negative profitability, CEO instability (3 leaders in 2 years), a Senate investigation into private equity childcare ownership, and safety citations across multiple states. Government subsidy dependency ($457M in H1 2024) creates additional policy risk. This is a deeply distressed turnaround situation with more questions than answers.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Tom Wyatt's return (December 2025) brings institutional knowledge from 12 years of prior leadership that drove occupancy and revenue growth</w:t>
      </w:r>
    </w:p>
    <w:p>
      <w:pPr>
        <w:spacing w:before="40" w:after="40"/>
        <w:ind w:left="283"/>
      </w:pPr>
      <w:r>
        <w:rPr>
          <w:rFonts w:ascii="Calibri" w:hAnsi="Calibri"/>
          <w:b/>
          <w:color w:val="4A6B25"/>
          <w:sz w:val="20"/>
        </w:rPr>
        <w:t xml:space="preserve">2. </w:t>
      </w:r>
      <w:r>
        <w:rPr>
          <w:rFonts w:ascii="Calibri" w:hAnsi="Calibri"/>
          <w:b w:val="0"/>
          <w:color w:val="3A4A28"/>
          <w:sz w:val="20"/>
        </w:rPr>
        <w:t>Childcare affordability crisis and structural supply shortage could drive enrollment recovery as economy stabilizes</w:t>
      </w:r>
    </w:p>
    <w:p>
      <w:pPr>
        <w:spacing w:before="40" w:after="40"/>
        <w:ind w:left="283"/>
      </w:pPr>
      <w:r>
        <w:rPr>
          <w:rFonts w:ascii="Calibri" w:hAnsi="Calibri"/>
          <w:b/>
          <w:color w:val="4A6B25"/>
          <w:sz w:val="20"/>
        </w:rPr>
        <w:t xml:space="preserve">3. </w:t>
      </w:r>
      <w:r>
        <w:rPr>
          <w:rFonts w:ascii="Calibri" w:hAnsi="Calibri"/>
          <w:b w:val="0"/>
          <w:color w:val="3A4A28"/>
          <w:sz w:val="20"/>
        </w:rPr>
        <w:t>Forward PE of 14x on projected profitability of $0.10-0.20 EPS offers asymmetric upside if transformation succeeds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Same-center occupancy declining to 64.5% with EBITDA guided down 25-30% — operational deterioration accelerating without clear inflection point</w:t>
      </w:r>
    </w:p>
    <w:p>
      <w:pPr>
        <w:spacing w:before="40" w:after="40"/>
        <w:ind w:left="283"/>
      </w:pPr>
      <w:r>
        <w:rPr>
          <w:rFonts w:ascii="Calibri" w:hAnsi="Calibri"/>
          <w:b/>
          <w:color w:val="4A6B25"/>
          <w:sz w:val="20"/>
        </w:rPr>
        <w:t xml:space="preserve">2. </w:t>
      </w:r>
      <w:r>
        <w:rPr>
          <w:rFonts w:ascii="Calibri" w:hAnsi="Calibri"/>
          <w:b w:val="0"/>
          <w:color w:val="3A4A28"/>
          <w:sz w:val="20"/>
        </w:rPr>
        <w:t>D/E of 335% with negative profitability creates balance sheet fragility; potential for credit downgrade or dilutive recapitalization</w:t>
      </w:r>
    </w:p>
    <w:p>
      <w:pPr>
        <w:spacing w:before="40" w:after="40"/>
        <w:ind w:left="283"/>
      </w:pPr>
      <w:r>
        <w:rPr>
          <w:rFonts w:ascii="Calibri" w:hAnsi="Calibri"/>
          <w:b/>
          <w:color w:val="4A6B25"/>
          <w:sz w:val="20"/>
        </w:rPr>
        <w:t xml:space="preserve">3. </w:t>
      </w:r>
      <w:r>
        <w:rPr>
          <w:rFonts w:ascii="Calibri" w:hAnsi="Calibri"/>
          <w:b w:val="0"/>
          <w:color w:val="3A4A28"/>
          <w:sz w:val="20"/>
        </w:rPr>
        <w:t>Senate investigation into private equity childcare ownership and multi-state safety citations create regulatory and reputational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Childcare is inherently human-intensive — AI cannot replace the physical care, emotional nurturing, and supervision of young children, providing a structural floor on disruption risk [2]. However, AI offers limited upside: operational applications (scheduling optimization, parent communication apps, enrollment management) are incremental rather than transformational. The primary AI risk is indirect — if AI enables more parents to work from home effectively, demand for center-based childcare could structurally decline. No evidence of meaningful AI adoption within KinderCare's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KinderCare Q4 FY2025 Earnings Release — Revenue $2.73B, FY2026 guidance $2.70-2.75B revenue, $210-230M adj. EBITDA, March 2026</w:t>
      </w:r>
    </w:p>
    <w:p>
      <w:pPr>
        <w:spacing w:before="20" w:after="20"/>
        <w:ind w:left="170"/>
      </w:pPr>
      <w:r>
        <w:rPr>
          <w:rFonts w:ascii="Calibri" w:hAnsi="Calibri"/>
          <w:b/>
          <w:color w:val="4A6B25"/>
          <w:sz w:val="15"/>
        </w:rPr>
        <w:t xml:space="preserve">2. </w:t>
      </w:r>
      <w:r>
        <w:rPr>
          <w:rFonts w:ascii="Calibri" w:hAnsi="Calibri"/>
          <w:b w:val="0"/>
          <w:color w:val="3A4A28"/>
          <w:sz w:val="17"/>
        </w:rPr>
        <w:t>KinderCare Leadership Changes — Tom Wyatt returns as CEO December 2025; Glassdoor 2.9/5 culture, executive team bottom 15% (Comparably)</w:t>
      </w:r>
    </w:p>
    <w:p>
      <w:pPr>
        <w:spacing w:before="20" w:after="20"/>
        <w:ind w:left="170"/>
      </w:pPr>
      <w:r>
        <w:rPr>
          <w:rFonts w:ascii="Calibri" w:hAnsi="Calibri"/>
          <w:b/>
          <w:color w:val="4A6B25"/>
          <w:sz w:val="15"/>
        </w:rPr>
        <w:t xml:space="preserve">3. </w:t>
      </w:r>
      <w:r>
        <w:rPr>
          <w:rFonts w:ascii="Calibri" w:hAnsi="Calibri"/>
          <w:b w:val="0"/>
          <w:color w:val="3A4A28"/>
          <w:sz w:val="17"/>
        </w:rPr>
        <w:t>Senate Investigation — Private equity childcare ownership probe; S&amp;P Global leverage assessment; Multi-state regulatory citations for supervision failures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