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KMB</w:t>
      </w:r>
      <w:r>
        <w:rPr>
          <w:rFonts w:ascii="Calibri" w:hAnsi="Calibri"/>
          <w:b/>
          <w:color w:val="1A2010"/>
          <w:sz w:val="40"/>
        </w:rPr>
        <w:t xml:space="preserve">  Kimberly-Clark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2026-03-31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Household &amp; Personal Products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Kimberly-Clark Corporation manufactures and markets personal care and consumer tissue products globally under brands including Huggies, Pull-Ups, Kotex, Depend, Kleenex, Scott, and Cottonelle. The company operates through North America and International Personal Care segments.</w:t>
      </w:r>
    </w:p>
    <w:p>
      <w:r>
        <w:rPr>
          <w:rFonts w:ascii="Calibri" w:hAnsi="Calibri"/>
          <w:b/>
          <w:color w:val="6E8450"/>
          <w:sz w:val="18"/>
        </w:rPr>
        <w:t>36,000 Employees · https://www.kimberly-clark.com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Kimberly-Clark announced a $2 billion five-year investment in US manufacturing, its largest domestic expansion in 30+ years, signaling commitment to innovation and capacity growth [4]. The company hired its first Chief Creative Officer (Luiz Sanches) and is pioneering AI applications in agentic commerce, using AI to test thousands of search prompts to improve brand discoverability [4]. However, operating in mature consumer staples categories (diapers, tissues) inherently limits innovation upside, and organic sales growth of just 2.1% in Q4 reflects the category ceiling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rating of 4.0/5 with 78% recommending the company to a friend is strong for a consumer staples manufacturer, with employees citing 'great people and caring culture' and a 'strong focus on ethics and compliance' [4]. CEO Mike Hsu's vision for 'the largest transformation in Kimberly-Clark's 150+ year history' provides a clear leadership narrative, and the company's mission around essential hygiene products for billions of people globally resonates [1]. Insider ownership and the company's 150+ year heritage provide stability, though some employees note 'old school thinking' and passive-aggressive culture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KMB generated $2.8 billion in operating cash flow in 2025 and returned $1.8 billion to shareholders, demonstrating strong cash generation from its consumer staples portfolio [1]. However, debt-to-equity of 465% is extremely elevated (driven by treasury stock and leverage), and the payout ratio of 104% exceeds earnings, raising dividend sustainability concerns [2]. Forward P/E of 12.5 is attractive for a Dividend Aristocrat with 53 consecutive years of dividend growth, and adjusted operating profit grew 13.1% in Q4 driven by productivity savings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Kimberly-Clark's 150+ year history and 53 consecutive years of dividend growth demonstrate genuine infinite-game DNA, and CEO Hsu's ambitious transformation agenda suggests long-term thinking. However, the pending Kenvue acquisition introduces significant integration risk that could distract from the core mission [1][4].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Providing essential hygiene products to billions of people globally represents a meaningful purpose that transcends quarterly results, and the company's sustainability ambitions (including net-zero commitments and forest stewardship) add depth [5]. The 150+ year operating history itself demonstrates an enduring organizational purpose, though the cause could be more compellingly articulated beyond 'better care for a better world' messaging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Glassdoor's 4.0/5 rating and 78% recommendation rate reflect genuine employee satisfaction, with collaboration cited as embedded in the culture from day one [4]. However, the management team's low 1.3-year average tenure suggests high turnover at the leadership level, and employee complaints about 'good ole boys club' dynamics and poor change management indicate trust gaps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Kimberly-Clark competes openly with Procter &amp; Gamble across nearly every category and has consistently used P&amp;G as a benchmark for innovation, marketing, and operational excellence. The pending Kenvue acquisition from J&amp;J reflects a willingness to learn from and absorb competitor capabilities rather than simply trying to beat them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Hsu's characterization of 'the largest transformation in Kimberly-Clark's 150+ year history' and the $2 billion US manufacturing investment demonstrate willingness to evolve [1][4]. The Kenvue acquisition would significantly reshape the company's portfolio. However, KMB has operated in essentially the same product categories for decades, showing limited appetite for truly existential pivots.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decision to exit the private-label diaper business to focus on premium brands shows courage to sacrifice revenue for margin quality, and the Kenvue acquisition is a bold strategic bet [1]. Hiring a Chief Creative Officer and Chief Digital Technology Officer from Toyota signals willingness to import outside perspectives, though the company has been slower than peers to embrace transformative change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Kimberly-Clark is a 150+ year Dividend Aristocrat (53 consecutive years of growth) undergoing its largest transformation under CEO Mike Hsu, with $2 billion committed to US manufacturing expansion and AI-driven marketing innovation. The 5.3% dividend yield at a forward P/E of 12.5 offers compelling income value for a company generating $2.8 billion in annual operating cash flow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primary concerns are the extremely elevated debt-to-equity ratio of 465%, a payout ratio exceeding 100% of trailing earnings (though expected to normalize with 2026 EPS growth), and the integration risk from the pending Kenvue acquisition. Revenue has been essentially flat, with organic growth of just 2% — the stock needs both the transformation to deliver margin expansion and the Kenvue deal to create value to justify a more bullish stance [1][4].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Double-digit adjusted EPS growth expected in 2026 on a constant-currency basis, driven by productivity savings and equity company income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$2 billion five-year US manufacturing investment expected to enhance capacity, accelerate innovation, and support long-term growth targets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Kenvue acquisition could create significant scale advantages in personal care and transform the company's growth profile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Debt-to-equity of 465% and payout ratio exceeding 100% create financial fragility if earnings disappoint or interest rates remain elevated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Kenvue integration carries substantial execution risk — Kenvue has struggled since its J&amp;J separation, and combining two large organizations is complex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Flat revenue growth and mature category dynamics limit organic growth potential, with 2026 organic sales guidance of only ~2%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Kimberly-Clark's physical consumer staples products (diapers, tissues, hygiene) are essentially immune to AI displacement — no AI can replace the need for diapers or toilet paper [4]. AI serves as an operational enabler through supply chain optimization, marketing analytics, and the company's early adoption of agentic commerce tools for brand discoverability [4]. AI Risk Protection scores 6/9 as the core business is fully insulated from AI disruption, plus 1 AI Opportunity tiebreaker for meaningful AI deployment in marketing and supply chain that enhances competitive positioning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Kimberly-Clark Q4 2025 Earnings Release — Strong Finish to Second Year of Transformation,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KMB key statistics,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StockAnalysis.com — KMB revenue history,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The Drum — 'Kimberly-Clark Bets on Creativity'; Consumer Goods Technology — AI at KMB; Glassdoor reviews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Sustainalytics — Kimberly-Clark ESG Risk Rating; Kimberly-Clark Sustainability Report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