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KMI</w:t>
      </w:r>
      <w:r>
        <w:rPr>
          <w:rFonts w:ascii="Calibri" w:hAnsi="Calibri"/>
          <w:b/>
          <w:color w:val="1A2010"/>
          <w:sz w:val="40"/>
        </w:rPr>
        <w:t xml:space="preserve">  Kinder Morgan, Inc.</w:t>
      </w:r>
    </w:p>
    <w:p>
      <w:pPr>
        <w:spacing w:after="120"/>
      </w:pPr>
      <w:r>
        <w:rPr>
          <w:rFonts w:ascii="Calibri" w:hAnsi="Calibri"/>
          <w:b/>
          <w:color w:val="6E8450"/>
          <w:sz w:val="18"/>
        </w:rPr>
        <w:t>DIVIDEND SLEEVE · 2026-03-24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Pipeline Infrastructure · NYSE · United States</w:t>
      </w:r>
    </w:p>
    <w:p>
      <w:pPr>
        <w:spacing w:after="80"/>
      </w:pPr>
      <w:r>
        <w:rPr>
          <w:rFonts w:ascii="Calibri" w:hAnsi="Calibri"/>
          <w:b w:val="0"/>
          <w:color w:val="3A4A28"/>
          <w:sz w:val="20"/>
        </w:rPr>
        <w:t>Kinder Morgan is one of the largest energy infrastructure companies in North America, operating approximately 80,000 miles of natural gas pipelines and 700+ billion cubic feet of natural gas storage facilities. The company is benefiting from an unprecedented surge in natural gas demand driven by AI data center power requirements and LNG exports, with a $9.3 billion project backlog — $8.4 billion dedicated to natural gas infrastructure. The company pays a $1.17 annual dividend (3.48% yield) and has increased dividends for nine consecutive years.</w:t>
      </w:r>
    </w:p>
    <w:p>
      <w:r>
        <w:rPr>
          <w:rFonts w:ascii="Calibri" w:hAnsi="Calibri"/>
          <w:b/>
          <w:color w:val="6E8450"/>
          <w:sz w:val="18"/>
        </w:rPr>
        <w:t>11,000 Employees · https://www.kindermorgan.com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KMI scores modestly on innovation for a midstream infrastructure company. Track record (1/3): the company has successfully pivoted from aggressive debt-funded expansion (2014–2016 dividend cut era) to a disciplined fee-based model with stable cash flows, and is now executing a $9.3B backlog focused on AI-era natural gas demand [1]. AI deployment (1/2): KMI deployed an AI leak detection system on a 500-mile Permian pipeline that reduced incidents by 30% and saved $3 million; also uses Palantir's Foundry platform for AI-optimized pipeline outage scheduling [2]. Market share (2/2): KMI owns ~80,000 miles of primarily natural gas pipelines — the largest in the US — with pipeline utilization increasing from 74% in 2016 to 90% in 2025 [2]. Pipeline (1/2): the $1.7B Trident Intrastate Pipeline, $3.5B proposed Copper State Connector, and $3.4B 2026 discretionary CapEx are specific projects with defined timelines [1]. R&amp;D intensity (0/1): pipeline infrastructure companies have minimal R&amp;D as traditionally measured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KMI's purpose — 'delivering the energy and resources that fuel everyday life' — is clear and functionally accurate, but doesn't rise to the level of a transformative Just Cause [3]. Community impact (1/2): KMI has documented community investment programs and environmental compliance initiatives, but these are primarily regulatory requirements rather than distinctive charitable programs [1]. Employee retention (1/2): an 11,000-person workforce with operational stability and the company's 9-year dividend growth track record suggest reasonable organizational stability, but specific retention data is not cited [1]. Insider buying (1/2): CEO Steve Kean maintains equity stakes; specific 2025 open-market purchases were not identified but management compensation is substantially equity-linked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KMI is a Dividend sleeve stock. Key metrics: D/E of 100% is above the 70% target but below the 300% floor: score = (300-100)/(300-70) = 0.87. ROE of 9.83% is below 15% target (score = 9.83/15 = 0.66). Revenue growth YoY is approximately 5% (score = (5-(-20))/(10-(-20)) = 0.83). Revenue 5yr CAGR approximately 4% (score = (4-(-5))/(10-(-5)) = 0.60). Forward P/E of 24.63 above target: score = (60-24.63)/(60-20) = 0.88. Profit margin of 18.04% (score = 18.04/20 = 0.90). Payout ratio 87.25% — above 40% target; score = (100-87.25)/(100-40) = 0.21. Consec years paid: approximately 9 (score = 9/10 = 0.90, ×2 weight). Consec years growth: 9 (score = 9/10 = 0.90). 5yr div growth CAGR approximately 3% (score = 3/6 = 0.50, ×2 weight). Weighted sum: D/E(0.87) + ROE(0.66) + RevYoY(0.83) + Rev5yr(0.60) + FwdPE(0.88) + Margin(0.90) + Payout(0.21) + ConsecPaid(0.90×2=1.80) + ConsecGrowth(0.90) + DivGrowth5yr(0.50×2=1.0) = 9.65/12 → 8.0. Adjusted for high payout ratio impact, score =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Kinder Morgan rebuilt from the 2015 dividend cut — a crisis of its own making from over-leveraged growth — into a disciplined, fee-based infrastructure business with nine years of dividend growth. The current AI-driven natural gas demand surge validates the long-term thesis but also creates temptation to over-invest. Sinek would note that the company plays an important infrastructure Just Cause but the 2015 dividend cut reflected a finite-game mindset that still colors its infinite-game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KMI's implicit Just Cause — reliably connecting energy supply to demand through essential infrastructure — is real and has been validated by decades of operation. However, the 2015 dividend cut (a $2+ per share annualized cut to $0.50) reflected prioritization of financial survival over long-term stakeholder relationships, limiting the Just Cause score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CEO Steve Kean (and now Dax Sanders as President), KMI has rebuilt organizational credibility after the 2015 crisis. The company's completion of 273 projects on schedule and within budget from 2021 to 2025 demonstrates operational execution culture. The 11,000-person workforce appears stable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KMI's competitive language focuses on scale advantages and market positioning rather than learning from rivals. Williams Companies and Energy Transfer are competitors, but KMI's public commentary rarely frames them as worthy rivals in a Sinek sense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KMI's post-2015 restructuring — abandoning the growth-at-all-costs model and rebuilding as a disciplined fee-based operator — represents genuine existential flexibility, even if born of necessity. The current pivot toward AI data center energy demand is an incremental adaptation rather than a transformative pivot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$3.4B 2026 discretionary CapEx commitment, $1.7B Trident pipeline investment, and $3.5B proposed Copper State Connector represent meaningful long-term infrastructure bets. However, the history of the 2015 dividend cut — driven by over-leverage — means the company plays defensively when push comes to shove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Kinder Morgan is uniquely positioned at the intersection of the three most powerful demand drivers in energy: AI data center power requirements, US LNG export ramp, and domestic industrial electrification. With 5+ Bcf/d of new hookup requests, a $9.3B project backlog (91% natural gas), and 90% pipeline utilization, the company enters 2026 with the most visible growth outlook in its post-crisis history. The 3.48% dividend yield, nine consecutive years of increases, and 2026 EBITDA guidance of $8.7B (+4% YoY) provide an attractive total return profile [1][2].</w:t>
      </w:r>
    </w:p>
    <w:p>
      <w:pPr>
        <w:spacing w:after="120"/>
      </w:pPr>
      <w:r>
        <w:rPr>
          <w:rFonts w:ascii="Calibri" w:hAnsi="Calibri"/>
          <w:b w:val="0"/>
          <w:color w:val="3A4A28"/>
          <w:sz w:val="20"/>
        </w:rPr>
        <w:t>The bear case rests on three risks: First, the 87.25% payout ratio is elevated for a dividend stock, limiting the buffer against earnings pressure. Second, $3.4B in 2026 CapEx will stress free cash flow, and any project delays or cost overruns on Trident or Copper State Connector would impair the dividend coverage ratio. Third, cybersecurity exposure is material — the distributed control systems across 80,000 miles of pipeline are described as underprepared for cyberattacks, and a significant infrastructure breach would trigger regulatory review and operational disruption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Trident Intrastate Pipeline construction start in Texas — a $1.7B project serving AI data center demand that would add contracted EBITDA and validate the data center energy demand thesis</w:t>
      </w:r>
    </w:p>
    <w:p>
      <w:pPr>
        <w:spacing w:before="40" w:after="40"/>
        <w:ind w:left="283"/>
      </w:pPr>
      <w:r>
        <w:rPr>
          <w:rFonts w:ascii="Calibri" w:hAnsi="Calibri"/>
          <w:b/>
          <w:color w:val="4A6B25"/>
          <w:sz w:val="20"/>
        </w:rPr>
        <w:t xml:space="preserve">2. </w:t>
      </w:r>
      <w:r>
        <w:rPr>
          <w:rFonts w:ascii="Calibri" w:hAnsi="Calibri"/>
          <w:b w:val="0"/>
          <w:color w:val="3A4A28"/>
          <w:sz w:val="20"/>
        </w:rPr>
        <w:t>Copper State Connector approval for Arizona — the proposed $3.5B project serving Southwest data center build-out represents the largest pipeline project in KMI history</w:t>
      </w:r>
    </w:p>
    <w:p>
      <w:pPr>
        <w:spacing w:before="40" w:after="40"/>
        <w:ind w:left="283"/>
      </w:pPr>
      <w:r>
        <w:rPr>
          <w:rFonts w:ascii="Calibri" w:hAnsi="Calibri"/>
          <w:b/>
          <w:color w:val="4A6B25"/>
          <w:sz w:val="20"/>
        </w:rPr>
        <w:t xml:space="preserve">3. </w:t>
      </w:r>
      <w:r>
        <w:rPr>
          <w:rFonts w:ascii="Calibri" w:hAnsi="Calibri"/>
          <w:b w:val="0"/>
          <w:color w:val="3A4A28"/>
          <w:sz w:val="20"/>
        </w:rPr>
        <w:t>Natural gas demand exceeding 5 Bcf/d of new contracted connections would force a backlog revision upward and accelerate dividend growth toward a 4–5% annual 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Cybersecurity vulnerability: KMI's 80,000-mile network of legacy control systems with outdated firmware and minimal security features represents a major infrastructure attack surface — a successful cyberattack could trigger operational shutdown and regulatory penalties</w:t>
      </w:r>
    </w:p>
    <w:p>
      <w:pPr>
        <w:spacing w:before="40" w:after="40"/>
        <w:ind w:left="283"/>
      </w:pPr>
      <w:r>
        <w:rPr>
          <w:rFonts w:ascii="Calibri" w:hAnsi="Calibri"/>
          <w:b/>
          <w:color w:val="4A6B25"/>
          <w:sz w:val="20"/>
        </w:rPr>
        <w:t xml:space="preserve">2. </w:t>
      </w:r>
      <w:r>
        <w:rPr>
          <w:rFonts w:ascii="Calibri" w:hAnsi="Calibri"/>
          <w:b w:val="0"/>
          <w:color w:val="3A4A28"/>
          <w:sz w:val="20"/>
        </w:rPr>
        <w:t>Payout ratio stress: at 87.25% payout, KMI has limited cushion for an earnings disappointment; any EBITDA miss on 2026 guidance could force a dividend growth pause</w:t>
      </w:r>
    </w:p>
    <w:p>
      <w:pPr>
        <w:spacing w:before="40" w:after="40"/>
        <w:ind w:left="283"/>
      </w:pPr>
      <w:r>
        <w:rPr>
          <w:rFonts w:ascii="Calibri" w:hAnsi="Calibri"/>
          <w:b/>
          <w:color w:val="4A6B25"/>
          <w:sz w:val="20"/>
        </w:rPr>
        <w:t xml:space="preserve">3. </w:t>
      </w:r>
      <w:r>
        <w:rPr>
          <w:rFonts w:ascii="Calibri" w:hAnsi="Calibri"/>
          <w:b w:val="0"/>
          <w:color w:val="3A4A28"/>
          <w:sz w:val="20"/>
        </w:rPr>
        <w:t>Project execution risk: the $3.4B 2026 discretionary CapEx program includes multiple large greenfield projects with labor and equipment availability constraints acknowledged by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Kinder Morgan's pipeline infrastructure is structurally immune to AI substitution — you cannot replace 80,000 miles of physical pipeline with software. AI data center construction is actually creating unprecedented demand for natural gas: KMI has over 5 Bcf/d of new hookup requests, the five largest hyperscalers are expected to spend $700B+ in AI investments in 2026, and the IEA projects data center electricity demand to double by 2026 [2]. KMI is the direct beneficiary of the AI revolution through energy demand. AI Opportunity (1/1): KMI has deployed AI for pipeline leak detection, operational scheduling via Palantir Foundry, and digital twin management — generating documented $3M+ in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Kinder Morgan Q4 2025 Earnings and 2026 Financial Expectations, January 2026</w:t>
      </w:r>
    </w:p>
    <w:p>
      <w:pPr>
        <w:spacing w:before="20" w:after="20"/>
        <w:ind w:left="170"/>
      </w:pPr>
      <w:r>
        <w:rPr>
          <w:rFonts w:ascii="Calibri" w:hAnsi="Calibri"/>
          <w:b/>
          <w:color w:val="4A6B25"/>
          <w:sz w:val="15"/>
        </w:rPr>
        <w:t xml:space="preserve">2. </w:t>
      </w:r>
      <w:r>
        <w:rPr>
          <w:rFonts w:ascii="Calibri" w:hAnsi="Calibri"/>
          <w:b w:val="0"/>
          <w:color w:val="3A4A28"/>
          <w:sz w:val="17"/>
        </w:rPr>
        <w:t>Kinder Morgan at Raymond James Conference: Natural Gas Growth Strategy, 2026</w:t>
      </w:r>
    </w:p>
    <w:p>
      <w:pPr>
        <w:spacing w:before="20" w:after="20"/>
        <w:ind w:left="170"/>
      </w:pPr>
      <w:r>
        <w:rPr>
          <w:rFonts w:ascii="Calibri" w:hAnsi="Calibri"/>
          <w:b/>
          <w:color w:val="4A6B25"/>
          <w:sz w:val="15"/>
        </w:rPr>
        <w:t xml:space="preserve">3. </w:t>
      </w:r>
      <w:r>
        <w:rPr>
          <w:rFonts w:ascii="Calibri" w:hAnsi="Calibri"/>
          <w:b w:val="0"/>
          <w:color w:val="3A4A28"/>
          <w:sz w:val="17"/>
        </w:rPr>
        <w:t>Kinder Morgan corporate website — kindermorgan.com</w:t>
      </w:r>
    </w:p>
    <w:p>
      <w:pPr>
        <w:spacing w:before="20" w:after="20"/>
        <w:ind w:left="170"/>
      </w:pPr>
      <w:r>
        <w:rPr>
          <w:rFonts w:ascii="Calibri" w:hAnsi="Calibri"/>
          <w:b/>
          <w:color w:val="4A6B25"/>
          <w:sz w:val="15"/>
        </w:rPr>
        <w:t xml:space="preserve">4. </w:t>
      </w:r>
      <w:r>
        <w:rPr>
          <w:rFonts w:ascii="Calibri" w:hAnsi="Calibri"/>
          <w:b w:val="0"/>
          <w:color w:val="3A4A28"/>
          <w:sz w:val="17"/>
        </w:rPr>
        <w:t>StockAnalysis.com — KMI statistics and valuation,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IMD Business School — 'Kinder Morgan: Navigating growth in the digital energy era,'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