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KNTK</w:t>
      </w:r>
      <w:r>
        <w:rPr>
          <w:rFonts w:ascii="Calibri" w:hAnsi="Calibri"/>
          <w:b/>
          <w:color w:val="1A2010"/>
          <w:sz w:val="40"/>
        </w:rPr>
        <w:t xml:space="preserve">  Kinetik Holdings Inc.</w:t>
      </w:r>
    </w:p>
    <w:p>
      <w:pPr>
        <w:spacing w:after="120"/>
      </w:pPr>
      <w:r>
        <w:rPr>
          <w:rFonts w:ascii="Calibri" w:hAnsi="Calibri"/>
          <w:b/>
          <w:color w:val="6E8450"/>
          <w:sz w:val="18"/>
        </w:rPr>
        <w:t>DIVIDEND SLEEVE · 2026-04-29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Kinetik Holdings Inc. operates as a midstream energy company in the Texas Delaware Basin, providing gathering, compression, processing, stabilization, treating, transportation, and storage services for natural gas, NGLs, and crude oil. The company also offers water gathering and disposal services and sells condensates, natural gas residue, and NGLs through its Midstream Logistics and Pipeline Transportation segments.</w:t>
      </w:r>
    </w:p>
    <w:p>
      <w:r>
        <w:rPr>
          <w:rFonts w:ascii="Calibri" w:hAnsi="Calibri"/>
          <w:b/>
          <w:color w:val="6E8450"/>
          <w:sz w:val="18"/>
        </w:rPr>
        <w:t>500 Employees · https://www.kinetik.com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KNTK demonstrates moderate innovation within the midstream energy sector. (1) Innovation Track Record: 2 pts — the company was formed through the 2022 merger of Altus Midstream and BCP Raptor, creating a scaled Delaware Basin platform; this transformative combination meaningfully expanded capacity and geographic reach, opening new revenue streams across gas, NGL, and water services [1]. (2) AI Deployment: 0 pts — no evidence of AI-powered products or quantified AI-driven efficiency gains in operations or customer-facing services. (3) Market Share Leadership: 1 pt — KNTK is a meaningful player in the Delaware Basin midstream space but competes against larger operators like Targa Resources and Enterprise Products; it holds a strong position in its geographic niche but is not the dominant category leader [1]. (4) Product Pipeline: 1 pt — the company has outlined $450-510M in 2026 capex for high-return growth projects including pipeline expansions and processing capacity additions, though specific product timelines are general rather than granular [1][2]. (5) R&amp;D Intensity: 0 pts — as a midstream infrastructure company, KNTK does not report meaningful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Quality Floor: 2 pts — Kinetik's stated purpose centers on 'connecting the Permian Basin to the world' through critical energy infrastructure, a clear articulation of what it does and for whom, though it does not express a deeper aspirational purpose beyond operational excellence [3]. Community &amp; Charitable Impact: 0 pts — no specific evidence of Kinetik-run charitable programs or community investment beyond standard corporate ESG reporting; the company publishes an ESG report but details on philanthropic dollar amounts or distinctive programs are not available. Employee Retention &amp; Tenure: 1 pt — Glassdoor ratings of 4.9/5 with 98% of employees recommending the company to a friend, and reviews highlighting transparency, open communication, and strong culture suggest above-average employee satisfaction for a 500-person organization [4]. Insider Buying: 1 pt — CEO Jamie Welch directly owns 6.03% of shares worth $412M, a significant personal stake that signals conviction, though recent insider transaction data shows mixed buying/selling patterns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KNTK's financial profile reflects a growing midstream operator with solid margins but elevated leverage and a stretched payout ratio. D/E of 132% is above the 70% target but well below the 300% floor, typical for capital-intensive midstream companies [2]. ROE of 17.8% exceeds the 15% target. Revenue grew 18.9% YoY to $1.76B in 2025 with a 3-year CAGR of ~13%, demonstrating consistent volume growth in the Delaware Basin [1]. Profit margin of 29.8% is strong for a midstream operator. Forward P/E of 24.3 is above the 20 target. The payout ratio of 118.6% exceeds 100%, driven by distribution commitments that currently outpace net income (though distributable cash flow is a better metric for MLPs/midstream). Dividend growth has been modest at ~1.6% CAGR over the period, with recent increases to $0.81/quarter from $0.75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Kinetik operates with a pragmatic long-term orientation characteristic of midstream infrastructure companies — assets have 20-40 year useful lives and contracts span multiple years, which inherently incentivizes long-term thinking. CEO Jamie Welch's 6% ownership stake and the 2022 transformative merger demonstrate commitment to building enduring value. However, the company is too young (formed 2022) to have demonstrated multi-decade consistency, and its competitive language focuses on market positioning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 pt — Kinetik's purpose of 'connecting the Permian Basin to the world' through energy infrastructure is clear but not distinctive. It identifies what the company does rather than articulating a vision of a better future. The purpose is tied to operational execution in a specific geography rather than a cause that inspires sacrifice or endures beyond the current energy cycle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 pts — Exceptional employee sentiment with Glassdoor rating of 4.9/5 and 98% recommendation rate across 84 reviews [4]. Employees specifically cite leadership transparency, open communication, and strategic alignment as cultural strengths. For a 500-person midstream operator in West Texas, this level of employee satisfaction is remarkable and suggests genuine psychological safety and trust within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No evidence that Kinetik management frames competition in terms of learning from rivals. Competitive language in earnings calls and investor presentations focuses on geographic positioning and capacity advantages in the Delaware Basin rather than acknowledging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pt — The 2022 merger of Altus Midstream and BCP Raptor to form Kinetik was a significant strategic transformation that created a scaled, integrated platform from two smaller operators [1]. Management has also demonstrated willingness to evolve, adding water services and expanding pipeline transportation beyond core gas gathering. However, the company is only 4 years old and has not yet faced a crisis-level test of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Management has committed to $450-510M in 2026 capex despite energy price volatility, prioritizing long-term capacity expansion over near-term free cash flow generation [1]. The sustainability-linked senior notes issuance ($250M in 2025) ties financing costs to ESG performance targets, showing willingness to accept accountability [7]. However, these are standard capital allocation decisions for a growth-stage midstream company rather than genuinely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Kinetik offers a compelling combination of 6.5% dividend yield and mid-single-digit growth from its dominant Delaware Basin midstream position. Revenue grew 18.9% YoY to $1.76B in 2025, and management guides for 7% adjusted EBITDA growth in 2026 to $950M-$1.05B with planned 3-5% annual dividend increases [1][2]. The company benefits from secular tailwinds — Permian Basin production continues to grow, and AI-driven data center demand is increasing natural gas consumption. CEO Jamie Welch's 6% ownership stake ($412M) provides strong alignment with shareholders [5].</w:t>
      </w:r>
    </w:p>
    <w:p>
      <w:pPr>
        <w:spacing w:after="120"/>
      </w:pPr>
      <w:r>
        <w:rPr>
          <w:rFonts w:ascii="Calibri" w:hAnsi="Calibri"/>
          <w:b w:val="0"/>
          <w:color w:val="3A4A28"/>
          <w:sz w:val="20"/>
        </w:rPr>
        <w:t>The bear case centers on payout sustainability and leverage. The 118.6% payout ratio (on a net income basis) means the dividend currently exceeds earnings, relying on distributable cash flow which can be volatile with commodity prices [2]. D/E of 132% reflects $3.9B in debt against a $3.4B market cap, and the negative free cash flow of -$130M in 2025 demonstrates that growth capex is consuming cash. Forward P/E of 24.3x prices in substantial growth that depends on continued Permian Basin volume expansion — any production slowdown from lower oil prices would pressure throughput volumes and dividend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Permian Basin production growth driving higher throughput volumes across KNTK's gathering, processing, and transportation infrastructure through 2027</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increasing natural gas demand and supporting long-term volume growth for midstream operators</w:t>
      </w:r>
    </w:p>
    <w:p>
      <w:pPr>
        <w:spacing w:before="40" w:after="40"/>
        <w:ind w:left="283"/>
      </w:pPr>
      <w:r>
        <w:rPr>
          <w:rFonts w:ascii="Calibri" w:hAnsi="Calibri"/>
          <w:b/>
          <w:color w:val="4A6B25"/>
          <w:sz w:val="20"/>
        </w:rPr>
        <w:t xml:space="preserve">3. </w:t>
      </w:r>
      <w:r>
        <w:rPr>
          <w:rFonts w:ascii="Calibri" w:hAnsi="Calibri"/>
          <w:b w:val="0"/>
          <w:color w:val="3A4A28"/>
          <w:sz w:val="20"/>
        </w:rPr>
        <w:t>Completion of 2026 growth capex projects ($450-510M) transitioning to free cash flow generation and improved dividend coverage in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$55/bbl reducing Permian Basin drilling activity and pressuring throughput volumes across KNTK's system</w:t>
      </w:r>
    </w:p>
    <w:p>
      <w:pPr>
        <w:spacing w:before="40" w:after="40"/>
        <w:ind w:left="283"/>
      </w:pPr>
      <w:r>
        <w:rPr>
          <w:rFonts w:ascii="Calibri" w:hAnsi="Calibri"/>
          <w:b/>
          <w:color w:val="4A6B25"/>
          <w:sz w:val="20"/>
        </w:rPr>
        <w:t xml:space="preserve">2. </w:t>
      </w:r>
      <w:r>
        <w:rPr>
          <w:rFonts w:ascii="Calibri" w:hAnsi="Calibri"/>
          <w:b w:val="0"/>
          <w:color w:val="3A4A28"/>
          <w:sz w:val="20"/>
        </w:rPr>
        <w:t>Elevated payout ratio of 118.6% on net income basis leaves dividend vulnerable if distributable cash flow falls short of management projections</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in the Delaware Basin — a slowdown in this specific sub-basin would disproportionately impact KNTK relative to more diversified midstream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 pts (IMMUNE) — KNTK operates physical midstream infrastructure — pipelines, processing plants, compression facilities, and water disposal systems — that AI structurally cannot displace [1]. Gathering, processing, and transporting hydrocarbons requires physical steel-in-the-ground assets governed by long-term contracts, right-of-way agreements, and environmental permits. AI may modestly improve operational efficiency (predictive maintenance, flow optimization) but creates zero substitution risk. Moreover, AI data center proliferation is driving unprecedented electricity demand, which benefits natural gas producers and the midstream companies that gather and process their output [6]. No analysts have flagged AI disruption as a risk factor for midstream operators. AI Opportunity: 0 pts — KNTK generates no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Kinetik Holdings Q4 2025 and Full Year 2025 Earnings Release, February 25, 2026</w:t>
      </w:r>
    </w:p>
    <w:p>
      <w:pPr>
        <w:spacing w:before="20" w:after="20"/>
        <w:ind w:left="170"/>
      </w:pPr>
      <w:r>
        <w:rPr>
          <w:rFonts w:ascii="Calibri" w:hAnsi="Calibri"/>
          <w:b/>
          <w:color w:val="4A6B25"/>
          <w:sz w:val="15"/>
        </w:rPr>
        <w:t xml:space="preserve">2. </w:t>
      </w:r>
      <w:r>
        <w:rPr>
          <w:rFonts w:ascii="Calibri" w:hAnsi="Calibri"/>
          <w:b w:val="0"/>
          <w:color w:val="3A4A28"/>
          <w:sz w:val="17"/>
        </w:rPr>
        <w:t>Kinetik Holdings 2026 Financial Guidance and Capital Allocation Update, February 2026</w:t>
      </w:r>
    </w:p>
    <w:p>
      <w:pPr>
        <w:spacing w:before="20" w:after="20"/>
        <w:ind w:left="170"/>
      </w:pPr>
      <w:r>
        <w:rPr>
          <w:rFonts w:ascii="Calibri" w:hAnsi="Calibri"/>
          <w:b/>
          <w:color w:val="4A6B25"/>
          <w:sz w:val="15"/>
        </w:rPr>
        <w:t xml:space="preserve">3. </w:t>
      </w:r>
      <w:r>
        <w:rPr>
          <w:rFonts w:ascii="Calibri" w:hAnsi="Calibri"/>
          <w:b w:val="0"/>
          <w:color w:val="3A4A28"/>
          <w:sz w:val="17"/>
        </w:rPr>
        <w:t>Kinetik Holdings corporate website — kinetik.com,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Kinetik Holdings employee reviews,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KNTK leadership and insider ownership analysis,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RBC Capital Markets — Kinetik Holdings price target and growth outlook, 2026</w:t>
      </w:r>
    </w:p>
    <w:p>
      <w:pPr>
        <w:spacing w:before="20" w:after="20"/>
        <w:ind w:left="170"/>
      </w:pPr>
      <w:r>
        <w:rPr>
          <w:rFonts w:ascii="Calibri" w:hAnsi="Calibri"/>
          <w:b/>
          <w:color w:val="4A6B25"/>
          <w:sz w:val="15"/>
        </w:rPr>
        <w:t xml:space="preserve">7. </w:t>
      </w:r>
      <w:r>
        <w:rPr>
          <w:rFonts w:ascii="Calibri" w:hAnsi="Calibri"/>
          <w:b w:val="0"/>
          <w:color w:val="3A4A28"/>
          <w:sz w:val="17"/>
        </w:rPr>
        <w:t>Kinetik Holdings $250M Sustainability-Linked Senior Notes offering, March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