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KOS</w:t>
      </w:r>
      <w:r>
        <w:rPr>
          <w:rFonts w:ascii="Calibri" w:hAnsi="Calibri"/>
          <w:b/>
          <w:color w:val="1A2010"/>
          <w:sz w:val="40"/>
        </w:rPr>
        <w:t xml:space="preserve">  Kosmos Energy Ltd.</w:t>
      </w:r>
    </w:p>
    <w:p>
      <w:pPr>
        <w:spacing w:after="120"/>
      </w:pPr>
      <w:r>
        <w:rPr>
          <w:rFonts w:ascii="Calibri" w:hAnsi="Calibri"/>
          <w:b/>
          <w:color w:val="6E8450"/>
          <w:sz w:val="18"/>
        </w:rPr>
        <w:t>GROWTH SLEEVE · 2026-03-23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Kosmos Energy is a deepwater exploration and production company focused on offshore oil and gas in Ghana, Equatorial Guinea, and the U.S. Gulf of Mexico. The company is burdened with $3.05 billion in total debt against $91.5 million in cash, and reported a Q4 2025 net loss of $377 million.</w:t>
      </w:r>
    </w:p>
    <w:p>
      <w:r>
        <w:rPr>
          <w:rFonts w:ascii="Calibri" w:hAnsi="Calibri"/>
          <w:b/>
          <w:color w:val="6E8450"/>
          <w:sz w:val="18"/>
        </w:rPr>
        <w:t>216 Employees · https://www.kosmosenergy.com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TTM revenue of $1.39B declined from $1.67B in 2024, with revenue growth of -23.75% over recent quarters and Q4 2025 net loss of $377M [1]. AI Deployment (0/2): No AI deployment in operations; environmental reporting application digitizes emissions tracking but is not AI-driven [2]. Market Share (1/2): Meaningful position in Ghana Jubilee Field and U.S. Gulf of Mexico, though asset sales (Equatorial Guinea) reduce footprint. Pipeline (1/2): 2026 guidance for 15% production growth to 70-78K boe/day is encouraging. R&amp;D Intensity (1/1): Innovation Center programs in Ghana and Mauritania supporting local entrepreneurship demonstrate non-traditional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Kosmos's startup-oriented mission — 'those who move fast, win big' — reflects entrepreneurial culture. Community Impact (2/2): Kosmos Innovation Center in Ghana and Mauritania supports young entrepreneurs; 100% local employees in host country offices; significant community investment programs [2][3]. Employee Retention (0/2): Only 216 employees, small but with open-door policy and town hall culture. Insider Buying (1/2): CEO Andy Inglis has led since 2014 with significant industry credibility from his BP tenure.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Kosmos's financial position is extremely stressed: $3.05B total debt against $91.5M cash, D/E of 579.8%, net margin of -39.97%, and interest coverage ratio of just 1.19 [1][3]. The Q4 2025 net loss of $377M followed revenue declines of -25.8% YoY. The March 2026 equity offering of 97.5M shares at $1.90 was heavily dilutive. Forward P/E of -113.6 reflects persistent unprofitability. The stock has risen from lows but fundamentals remain challenged. Liquidity floor: 24.9M avg volume x $2.84 = $70.7M daily turnover passes.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Kosmos demonstrates mixed signals. The Innovation Center programs in Ghana and Mauritania reflect genuine long-term community commitment, but the company's extreme leverage, asset sales, and dilutive equity offerings suggest a company fighting for survival rather than playing an infinite game. CEO Inglis's 12-year tenure provides stability.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Kosmos's startup roots and Innovation Center programs suggest a genuine desire to create economic opportunity in frontier markets [2]. However, the company's mission is primarily about extracting fossil fuels, which faces increasing existential questions in a decarbonizing world.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Open-door policy, regular town halls, and CEO question-and-answer forums demonstrate commitment to internal transparency [2]. Professional development programs and 100% local employment in host countries suggest community trust building.</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Kosmos competes with Tullow Oil, Hess, and other E&amp;P companies in West Africa. The Equatorial Guinea asset sale to Panoro Energy suggests retreat from competitive positions rather than learning from rivals. CEO Inglis's statement about moving fast from his startup roots is aspirational but at odds with the balance sheet reality.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Equatorial Guinea asset sale and equity offering demonstrate willingness to restructure, but these are defensive actions to manage debt rather than proactive strategic pivots [1]. The Innovation Center model shows creativity but hasn't translated to core business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Guiding for 15% production growth and 20% cost reductions in 2026 shows ambition despite severe financial constraints [1]. However, the 97.5M share offering at $1.90 (significantly below recent trading) demonstrates the company's weak negotiating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contrarian bull case centers on Kosmos's 2026 production growth guidance of 15% to 70-78K boe/day with a 20% reduction in total operating costs and 35% reduction in OpEx per barrel [1]. If executed, these targets would significantly improve free cash flow generation. The Equatorial Guinea sale ($219.5M) and equity offering ($185.25M) provide near-term liquidity. CEO Inglis's 12-year tenure and BP pedigree provide operational credibility. MSCI AAA ESG rating is highest in the E&amp;P peer group [3].</w:t>
      </w:r>
    </w:p>
    <w:p>
      <w:pPr>
        <w:spacing w:after="120"/>
      </w:pPr>
      <w:r>
        <w:rPr>
          <w:rFonts w:ascii="Calibri" w:hAnsi="Calibri"/>
          <w:b w:val="0"/>
          <w:color w:val="3A4A28"/>
          <w:sz w:val="20"/>
        </w:rPr>
        <w:t>The bear case is severe: $3.05B in total debt against $91.5M cash creates existential leverage risk with interest coverage of just 1.19x [1]. The Q4 2025 net loss of $377M, revenue declining 25.8%, and profit margin of -54.3% reflect a company under extreme financial stress. The dilutive 97.5M share offering at $1.90 wiped out significant shareholder value. Oil price dependence means a sustained decline below $60 Brent could make the debt unserviceable. Historical environmental incidents in Ghana (multiple oil spills) and the Jubilee Field criminal investigation create ESG overhang [3]. If production growth fails to materialize, bankruptcy risk is real.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production growth to 70-78K boe/day (15% growth) demonstrating operational execution on cost reduction and output targets</w:t>
      </w:r>
    </w:p>
    <w:p>
      <w:pPr>
        <w:spacing w:before="40" w:after="40"/>
        <w:ind w:left="283"/>
      </w:pPr>
      <w:r>
        <w:rPr>
          <w:rFonts w:ascii="Calibri" w:hAnsi="Calibri"/>
          <w:b/>
          <w:color w:val="4A6B25"/>
          <w:sz w:val="20"/>
        </w:rPr>
        <w:t xml:space="preserve">2. </w:t>
      </w:r>
      <w:r>
        <w:rPr>
          <w:rFonts w:ascii="Calibri" w:hAnsi="Calibri"/>
          <w:b w:val="0"/>
          <w:color w:val="3A4A28"/>
          <w:sz w:val="20"/>
        </w:rPr>
        <w:t>Net debt reduction of at least 10% in 2026 through asset sales, equity proceeds, and free cash flow generation</w:t>
      </w:r>
    </w:p>
    <w:p>
      <w:pPr>
        <w:spacing w:before="40" w:after="40"/>
        <w:ind w:left="283"/>
      </w:pPr>
      <w:r>
        <w:rPr>
          <w:rFonts w:ascii="Calibri" w:hAnsi="Calibri"/>
          <w:b/>
          <w:color w:val="4A6B25"/>
          <w:sz w:val="20"/>
        </w:rPr>
        <w:t xml:space="preserve">3. </w:t>
      </w:r>
      <w:r>
        <w:rPr>
          <w:rFonts w:ascii="Calibri" w:hAnsi="Calibri"/>
          <w:b w:val="0"/>
          <w:color w:val="3A4A28"/>
          <w:sz w:val="20"/>
        </w:rPr>
        <w:t>Oil price recovery above $75 Brent would significantly improve free cash flow generation given Kosmos's operating leverage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 $3.05B debt with 1.19x interest coverage creates existential risk if oil prices decline or production growth disappoints</w:t>
      </w:r>
    </w:p>
    <w:p>
      <w:pPr>
        <w:spacing w:before="40" w:after="40"/>
        <w:ind w:left="283"/>
      </w:pPr>
      <w:r>
        <w:rPr>
          <w:rFonts w:ascii="Calibri" w:hAnsi="Calibri"/>
          <w:b/>
          <w:color w:val="4A6B25"/>
          <w:sz w:val="20"/>
        </w:rPr>
        <w:t xml:space="preserve">2. </w:t>
      </w:r>
      <w:r>
        <w:rPr>
          <w:rFonts w:ascii="Calibri" w:hAnsi="Calibri"/>
          <w:b w:val="0"/>
          <w:color w:val="3A4A28"/>
          <w:sz w:val="20"/>
        </w:rPr>
        <w:t>Continued dilution — the March 2026 97.5M share offering at $1.90 demonstrates the company's need for external capital to survive</w:t>
      </w:r>
    </w:p>
    <w:p>
      <w:pPr>
        <w:spacing w:before="40" w:after="40"/>
        <w:ind w:left="283"/>
      </w:pPr>
      <w:r>
        <w:rPr>
          <w:rFonts w:ascii="Calibri" w:hAnsi="Calibri"/>
          <w:b/>
          <w:color w:val="4A6B25"/>
          <w:sz w:val="20"/>
        </w:rPr>
        <w:t xml:space="preserve">3. </w:t>
      </w:r>
      <w:r>
        <w:rPr>
          <w:rFonts w:ascii="Calibri" w:hAnsi="Calibri"/>
          <w:b w:val="0"/>
          <w:color w:val="3A4A28"/>
          <w:sz w:val="20"/>
        </w:rPr>
        <w:t>Oil price dependence — sustained Brent below $60 would likely make debt service unsustainable, creating potential restructuring scenario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Deepwater oil and gas exploration and production is a physical-world operation requiring specialized engineering, regulatory compliance, and geological expertise that AI cannot replicate [2]. However, AI could optimize exploration targeting and reduce operating costs, benefiting more technologically advanced competitors. The long-term energy transition driven by AI-optimized renewables poses secular risk. AI Opportunity (1/1): Limited — environmental reporting digitization is Kosmos's primary technology application, though AI-enhanced seismic analysis could improve exploration success 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Kosmos Energy Q4 2025 Earnings Release and 2026 Guidance, March 2, 2026</w:t>
      </w:r>
    </w:p>
    <w:p>
      <w:pPr>
        <w:spacing w:before="20" w:after="20"/>
        <w:ind w:left="170"/>
      </w:pPr>
      <w:r>
        <w:rPr>
          <w:rFonts w:ascii="Calibri" w:hAnsi="Calibri"/>
          <w:b/>
          <w:color w:val="4A6B25"/>
          <w:sz w:val="15"/>
        </w:rPr>
        <w:t xml:space="preserve">2. </w:t>
      </w:r>
      <w:r>
        <w:rPr>
          <w:rFonts w:ascii="Calibri" w:hAnsi="Calibri"/>
          <w:b w:val="0"/>
          <w:color w:val="3A4A28"/>
          <w:sz w:val="17"/>
        </w:rPr>
        <w:t>Kosmos Energy culture, Innovation Center, and leadership profile — company website, 2024-2026</w:t>
      </w:r>
    </w:p>
    <w:p>
      <w:pPr>
        <w:spacing w:before="20" w:after="20"/>
        <w:ind w:left="170"/>
      </w:pPr>
      <w:r>
        <w:rPr>
          <w:rFonts w:ascii="Calibri" w:hAnsi="Calibri"/>
          <w:b/>
          <w:color w:val="4A6B25"/>
          <w:sz w:val="15"/>
        </w:rPr>
        <w:t xml:space="preserve">3. </w:t>
      </w:r>
      <w:r>
        <w:rPr>
          <w:rFonts w:ascii="Calibri" w:hAnsi="Calibri"/>
          <w:b w:val="0"/>
          <w:color w:val="3A4A28"/>
          <w:sz w:val="17"/>
        </w:rPr>
        <w:t>Kosmos Energy ESG controversies — Sustainalytics, BankTrack, Ghana government reports,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KOS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