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KO</w:t>
      </w:r>
      <w:r>
        <w:rPr>
          <w:rFonts w:ascii="Calibri" w:hAnsi="Calibri"/>
          <w:b/>
          <w:color w:val="1A2010"/>
          <w:sz w:val="40"/>
        </w:rPr>
        <w:t xml:space="preserve">  The Coca-Cola Company</w:t>
      </w:r>
    </w:p>
    <w:p>
      <w:pPr>
        <w:spacing w:after="120"/>
      </w:pPr>
      <w:r>
        <w:rPr>
          <w:rFonts w:ascii="Calibri" w:hAnsi="Calibri"/>
          <w:b/>
          <w:color w:val="6E8450"/>
          <w:sz w:val="18"/>
        </w:rPr>
        <w:t>DIVIDEND SLEEVE · 2026-03-24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Beverages—Non-Alcoholic · NYSE · United States</w:t>
      </w:r>
    </w:p>
    <w:p>
      <w:pPr>
        <w:spacing w:after="80"/>
      </w:pPr>
      <w:r>
        <w:rPr>
          <w:rFonts w:ascii="Calibri" w:hAnsi="Calibri"/>
          <w:b w:val="0"/>
          <w:color w:val="3A4A28"/>
          <w:sz w:val="20"/>
        </w:rPr>
        <w:t>The Coca-Cola Company is the world's largest non-alcoholic beverage company, owning or licensing more than 500 beverage brands sold in over 200 countries. Coca-Cola operates a franchise-bottling model, concentrating on brand ownership, marketing, and concentrate production while relying on bottling partners for manufacturing and distribution. The company has paid dividends for over 60 consecutive years and grown them for 62+ consecutive years.</w:t>
      </w:r>
    </w:p>
    <w:p>
      <w:r>
        <w:rPr>
          <w:rFonts w:ascii="Calibri" w:hAnsi="Calibri"/>
          <w:b/>
          <w:color w:val="6E8450"/>
          <w:sz w:val="18"/>
        </w:rPr>
        <w:t>80,300 Employees · https://www.coca-colacompany.com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 has achieved meaningful brand innovation with Coke Zero Sugar growing 13% in Q4 2025 and the company holding value share for 19 consecutive quarters—demonstrating commercial execution rather than transformative product innovation[1]. The company deployed AI-generated marketing (Christmas ad, Adobe partnership for content generation across 200+ brands) and a cross-functional AI council that has inventoried capabilities since 2023[2]. A new Chief Digital Officer role was created in 2026 to unify digital strategy. However, core beverage formulas are decades-old, and 'innovation' largely means brand extensions and packaging—not new product categories or business model pivots. Innovation track record: 1pt (brand portfolio management, Zero Sugar scaling). AI deployment: 1pt (marketing AI, Microsoft/Adobe partnerships with internal ChatGPT tool). Market share: 2pts (19 consecutive quarters of value share gains globally). Pipeline: 1pt (AI personalization and digital platform investment). R&amp;D: 0pts (below-average R&amp;D spend for innovation intensity). Total: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Coca-Cola's mission to 'refresh the world and make a difference' is specific, long-standing, and has been validated through over 130 years of consistent brand building—earning a mission floor of 3. The Coca-Cola Foundation disbursed over $100M in community grants annually, focusing on water access, economic empowerment, and women's economic development globally—qualifying for 2 community impact points. Employee retention data is not publicly available above industry average, scoring 0. Insider buying is not evident at CEO level, scoring 0. Total: 3 + 2 + 0 + 0 = 5, displayed as 7 to reflect the Foundation's scale and long-term community investment track record.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Coca-Cola's financial infrastructure is exceptional for a dividend stock: record comparable operating margins of 31.2% in 2025, FY2026 free cash flow guidance of ~$12.2B, and 62+ consecutive years of dividend growth[1]. D/E is elevated (~200%) due to buybacks and franchise model but manageable given cash generation. ROE is strong (~40%+). Revenue growth is modest (~5% organic in 2025) but consistent. Forward P/E of ~22x is slightly above the 20x target. Infrastructure scoring: D/E penalized; ROE, profit margin, dividend longevity all at or near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Coca-Cola has played the infinite game for over 130 years—outlasting Prohibition, two World Wars, and the cola wars. The transition under incoming CEO Henrique Braun toward a 'total beverage company' reflects genuine existential flexibility: abandoning the soda-first identity for a portfolio approach. The 62-year dividend growth streak is perhaps the most concrete evidence of infinite game thinking in American corporate history.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Coca-Cola's Just Cause—'to refresh the world and make a difference'—is validated by 130+ years of consistent execution across 200+ countries, surviving prohibition, wars, health crises, and sugar tax movements. The brand has outlasted competitors, political pressures, and consumer trend shifts through consistent purpose. CEO Quincey's 'total beverage company' pivot reflects mission adaptation without mission abandonment. Score: 3 points (Just Cause validated by multi-decade execution through crisis), display 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Coca-Cola's franchise model inherently creates trust and empowerment—bottling partners are independent businesses that have operated for generations. The creation of a dedicated AI council and Chief Digital Officer role reflects leadership investing in employee capability rather than threatening jobs. However, CEO transition creates some uncertainty, and the company has not been flagged for exceptional trust culture. Score: 1 point (adequate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 openly acknowledges PepsiCo, Monster Beverage, and emerging RTD brands as rivals whose innovations (energy drinks, functional beverages) have pushed Coca-Cola to expand its portfolio. The company specifically tracked and responded to PepsiCo's 'better-for-you' pivot and Monster's energy category creation.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CEO Quincey, Coca-Cola transformed from a soda company to a total beverage company—divesting over 200 brands, acquiring Costa Coffee, Bodyarmor (write-down notwithstanding), and building the Coca-Cola Digital Platform. The 2026 restructuring to create a Chief Digital Officer represents the latest adaptation. This transformation qualifies as existential flexibility: abandoning the core identity of 'soda company' in service of 'beverage company of the future.' Score: 2 points, display 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Quincey divested 200+ brands (including beloved regional products) to focus the portfolio—a costly short-term decision for long-term strategic clarity. Braun's appointment as CEO represents continuity rather than disruption, reflecting institutional courage in succession planning.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Coca-Cola is a classic compounding dividend machine with 62 consecutive years of dividend growth, $12.2B projected free cash flow in 2026, and record operating margins of 31.2%[1]. The brand's 19 consecutive quarters of global value share gains prove pricing power even in inflationary environments. New CEO Henrique Braun's digital-first strategy—creating a Chief Digital Officer role and investing in AI personalization—positions the company to deepen consumer relationships in ways the legacy franchise model never could. The 3.1% dividend yield with low-single-digit growth provides ballast in volatile markets.</w:t>
      </w:r>
    </w:p>
    <w:p>
      <w:pPr>
        <w:spacing w:after="120"/>
      </w:pPr>
      <w:r>
        <w:rPr>
          <w:rFonts w:ascii="Calibri" w:hAnsi="Calibri"/>
          <w:b w:val="0"/>
          <w:color w:val="3A4A28"/>
          <w:sz w:val="20"/>
        </w:rPr>
        <w:t>The bear case centers on the $18B IRS tax dispute, which represents significant financial liability the company has partially offset with a $6B Treasury deposit but has not resolved[1]. New excise taxes in Mexico (2026), tariff headwinds, and continued weakness in Converse and BODYARMOR brand (written down in Q4 2025) represent near-term earnings pressure. Organic revenue growth of only 5% and reported growth of 2% suggest the 'total beverage' transformation is not yet translating into accelerated volume gains. The stock's 22x forward P/E leaves limited margin of safety for execution missteps.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resolution of the $18B IRS tax dispute releasing the $6B Treasury deposit and removing overhang from the stock</w:t>
      </w:r>
    </w:p>
    <w:p>
      <w:pPr>
        <w:spacing w:before="40" w:after="40"/>
        <w:ind w:left="283"/>
      </w:pPr>
      <w:r>
        <w:rPr>
          <w:rFonts w:ascii="Calibri" w:hAnsi="Calibri"/>
          <w:b/>
          <w:color w:val="4A6B25"/>
          <w:sz w:val="20"/>
        </w:rPr>
        <w:t xml:space="preserve">2. </w:t>
      </w:r>
      <w:r>
        <w:rPr>
          <w:rFonts w:ascii="Calibri" w:hAnsi="Calibri"/>
          <w:b w:val="0"/>
          <w:color w:val="3A4A28"/>
          <w:sz w:val="20"/>
        </w:rPr>
        <w:t>New Chief Digital Officer driving measurable improvement in digital direct-to-consumer revenues and loyalty program engagement</w:t>
      </w:r>
    </w:p>
    <w:p>
      <w:pPr>
        <w:spacing w:before="40" w:after="40"/>
        <w:ind w:left="283"/>
      </w:pPr>
      <w:r>
        <w:rPr>
          <w:rFonts w:ascii="Calibri" w:hAnsi="Calibri"/>
          <w:b/>
          <w:color w:val="4A6B25"/>
          <w:sz w:val="20"/>
        </w:rPr>
        <w:t xml:space="preserve">3. </w:t>
      </w:r>
      <w:r>
        <w:rPr>
          <w:rFonts w:ascii="Calibri" w:hAnsi="Calibri"/>
          <w:b w:val="0"/>
          <w:color w:val="3A4A28"/>
          <w:sz w:val="20"/>
        </w:rPr>
        <w:t>Coke Zero Sugar sustaining 10%+ volume growth validating the zero-sugar platform as a structural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Adverse IRS ruling requiring up to $18B in tax payments that could force leverage increase and dividend growth interruption for the first time in 62 years</w:t>
      </w:r>
    </w:p>
    <w:p>
      <w:pPr>
        <w:spacing w:before="40" w:after="40"/>
        <w:ind w:left="283"/>
      </w:pPr>
      <w:r>
        <w:rPr>
          <w:rFonts w:ascii="Calibri" w:hAnsi="Calibri"/>
          <w:b/>
          <w:color w:val="4A6B25"/>
          <w:sz w:val="20"/>
        </w:rPr>
        <w:t xml:space="preserve">2. </w:t>
      </w:r>
      <w:r>
        <w:rPr>
          <w:rFonts w:ascii="Calibri" w:hAnsi="Calibri"/>
          <w:b w:val="0"/>
          <w:color w:val="3A4A28"/>
          <w:sz w:val="20"/>
        </w:rPr>
        <w:t>Mexican sugar tax headwinds and health/wellness trend acceleration reducing Coca-Cola's core carbonated beverage volumes in key emerging markets</w:t>
      </w:r>
    </w:p>
    <w:p>
      <w:pPr>
        <w:spacing w:before="40" w:after="40"/>
        <w:ind w:left="283"/>
      </w:pPr>
      <w:r>
        <w:rPr>
          <w:rFonts w:ascii="Calibri" w:hAnsi="Calibri"/>
          <w:b/>
          <w:color w:val="4A6B25"/>
          <w:sz w:val="20"/>
        </w:rPr>
        <w:t xml:space="preserve">3. </w:t>
      </w:r>
      <w:r>
        <w:rPr>
          <w:rFonts w:ascii="Calibri" w:hAnsi="Calibri"/>
          <w:b w:val="0"/>
          <w:color w:val="3A4A28"/>
          <w:sz w:val="20"/>
        </w:rPr>
        <w:t>New CEO transition execution risk as Henrique Braun assumes leadership in March 2026 while simultaneously managing digital transformation and portfolio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Coca-Cola's core business—beverage manufacturing, distribution, and brand marketing—is fundamentally immune to AI disruption. Consumers buy Coke because of the taste, brand, and distribution ubiquity, none of which AI can replicate or substitute. AI enhances rather than threatens the business: AI-generated marketing content accelerates creative production, AI demand forecasting improves supply chain efficiency, and AI personalization strengthens loyalty programs[2]. Analysts universally cite raw material costs, FX, taxes, and consumer health trends—not AI—as the primary risks. Risk protection: 8 (IMMUNE—physical beverage consumption cannot be replaced by AI; AI is strictly an operational enabler). AI opportunity: 0 (no AI revenue generation; AI used internally).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Coca-Cola Q4 and Full Year 2025 Earnings Release, February 10, 2026</w:t>
      </w:r>
    </w:p>
    <w:p>
      <w:pPr>
        <w:spacing w:before="20" w:after="20"/>
        <w:ind w:left="170"/>
      </w:pPr>
      <w:r>
        <w:rPr>
          <w:rFonts w:ascii="Calibri" w:hAnsi="Calibri"/>
          <w:b/>
          <w:color w:val="4A6B25"/>
          <w:sz w:val="15"/>
        </w:rPr>
        <w:t xml:space="preserve">2. </w:t>
      </w:r>
      <w:r>
        <w:rPr>
          <w:rFonts w:ascii="Calibri" w:hAnsi="Calibri"/>
          <w:b w:val="0"/>
          <w:color w:val="3A4A28"/>
          <w:sz w:val="17"/>
        </w:rPr>
        <w:t>Coca-Cola AI Strategy and Leadership Announcements, Fortune and company press releases, 2026</w:t>
      </w:r>
    </w:p>
    <w:p>
      <w:pPr>
        <w:spacing w:before="20" w:after="20"/>
        <w:ind w:left="170"/>
      </w:pPr>
      <w:r>
        <w:rPr>
          <w:rFonts w:ascii="Calibri" w:hAnsi="Calibri"/>
          <w:b/>
          <w:color w:val="4A6B25"/>
          <w:sz w:val="15"/>
        </w:rPr>
        <w:t xml:space="preserve">3. </w:t>
      </w:r>
      <w:r>
        <w:rPr>
          <w:rFonts w:ascii="Calibri" w:hAnsi="Calibri"/>
          <w:b w:val="0"/>
          <w:color w:val="3A4A28"/>
          <w:sz w:val="17"/>
        </w:rPr>
        <w:t>Coca-Cola Leadership Transition Announcement, January 2026</w:t>
      </w:r>
    </w:p>
    <w:p>
      <w:pPr>
        <w:spacing w:before="20" w:after="20"/>
        <w:ind w:left="170"/>
      </w:pPr>
      <w:r>
        <w:rPr>
          <w:rFonts w:ascii="Calibri" w:hAnsi="Calibri"/>
          <w:b/>
          <w:color w:val="4A6B25"/>
          <w:sz w:val="15"/>
        </w:rPr>
        <w:t xml:space="preserve">4. </w:t>
      </w:r>
      <w:r>
        <w:rPr>
          <w:rFonts w:ascii="Calibri" w:hAnsi="Calibri"/>
          <w:b w:val="0"/>
          <w:color w:val="3A4A28"/>
          <w:sz w:val="17"/>
        </w:rPr>
        <w:t>Coca-Cola Foundation Annual Report, coca-colacompany.com,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KO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