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KREF</w:t>
      </w:r>
      <w:r>
        <w:rPr>
          <w:rFonts w:ascii="Calibri" w:hAnsi="Calibri"/>
          <w:b/>
          <w:color w:val="1A2010"/>
          <w:sz w:val="40"/>
        </w:rPr>
        <w:t xml:space="preserve">  KKR Real Estate Finance Trust Inc.</w:t>
      </w:r>
    </w:p>
    <w:p>
      <w:pPr>
        <w:spacing w:after="120"/>
      </w:pPr>
      <w:r>
        <w:rPr>
          <w:rFonts w:ascii="Calibri" w:hAnsi="Calibri"/>
          <w:b/>
          <w:color w:val="6E8450"/>
          <w:sz w:val="18"/>
        </w:rPr>
        <w:t>DIVIDEND SLEEVE · 2026-04-29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KKR Real Estate Finance Trust Inc. is a mortgage REIT that originates and acquires transitional senior loans secured by commercial real estate assets in the United States. Externally managed by KKR Real Estate Finance Manager LLC, an affiliate of KKR &amp; Co., the company focuses on floating-rate senior CRE loans across office, multifamily, life science, and other property types.</w:t>
      </w:r>
    </w:p>
    <w:p>
      <w:r>
        <w:rPr>
          <w:rFonts w:ascii="Calibri" w:hAnsi="Calibri"/>
          <w:b/>
          <w:color w:val="6E8450"/>
          <w:sz w:val="18"/>
        </w:rPr>
        <w:t>https://www.kkrreit.com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KREF operates a traditional mortgage REIT model with limited product innovation. (1) Innovation Track Record: 0 pts — the business model has remained essentially unchanged since its 2017 IPO, originating transitional CRE senior loans with no meaningful pivots or new product launches [1]. (2) AI Deployment: 0 pts — no evidence of AI-powered products or quantified AI-driven efficiency gains; parent KKR has AI initiatives but KREF itself has not reported AI deployment [2]. (3) Market Share Leadership: 1 pt — KREF is a recognizable player in the CRE lending space backed by KKR's $70B+ real estate platform, though it is not a category leader and competes against larger mortgage REITs like Starwood and Blackstone Mortgage [1]. (4) Product Pipeline: 0 pts — no next-generation products announced; the company continues to originate similar floating-rate transitional loans. (5) R&amp;D Intensity: 1 pt — while KREF itself has no R&amp;D, it benefits from KKR's broader technology and data analytics infrastructure for underwriting and risk management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Quality Floor: 1 pt — KREF's website describes its purpose in purely financial terms: providing 'customized CRE financing solutions,' a generic and interchangeable statement with no deeper purpose articulated beyond generating returns for shareholders [3]. Community &amp; Charitable Impact: 0 pts — no evidence of KREF-specific charitable programs or community investment initiatives; the company relies on KKR's broader philanthropic efforts but does not appear to run independent programs. Employee Retention &amp; Tenure: 0 pts — as an externally managed REIT with no direct employees (managed by a KKR affiliate), there is no meaningful employee retention data specific to KREF. Insider Buying: 1 pt — CEO Matt Salem and other KKR-affiliated directors have maintained their stock positions, with some modest insider purchasing in 2025, though not at levels indicating strong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KREF's balance sheet reflects the strain of the CRE downturn. D/E ratio of 390% far exceeds the 70% target, typical for mortgage REITs but indicating extreme leverage [4]. ROE is negative at -8.1% due to a net loss of $61.9M in Q1 2026 driven by $73.5M in credit loss provisions on office and life science loans [1]. The only bright spot is a low Forward P/E of 11.7, suggesting the market prices in recovery. Dividend was cut 42% in 2024 from $0.43 to $0.25 quarterly ($1.72 to $1.00 annualized), breaking the growth streak entirely [4]. Consecutive years paid remains solid at ~10 years. Profit margin sits at 0% as credit provisions consumed interest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KREF operates as a competently managed vehicle within KKR's real estate ecosystem but lacks a distinctive purpose beyond generating returns. The company benefits from KKR's long-term orientation and institutional infrastructure, but as an externally managed REIT, it functions more as a financial product than a purpose-driven organization. Strategic decisions are pragmatic — the 2024 dividend cut demonstrated willingness to preserve capital — but there is no evidence of a Just Cause or transformative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KREF exists to generate income for shareholders through CRE lending. There is no articulated vision of a better future beyond financial returns. The company's purpose is purely transactional: originate loans, collect interest, distribute dividends. This is a textbook finite player — it plays to win each quarter, not to advance a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As an externally managed REIT, KREF has no direct employees; it is managed by KKR affiliates. KKR's Glassdoor ratings show a mixed culture — 3.4/5 for culture and values with positives around 'like and trust' emphasis but concerns about diminishing accountability culture and competitive internal dynamics [2]. Leadership under Matt Salem has been stable since 2020, providing continuity through the CRE downturn.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No evidence that KREF management frames competition in terms of learning or self-improvement. Earnings calls focus on portfolio management and credit performance with standard competitive positioning language. The company does not acknowledge worthy rivals or demonstrate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KREF has shown incremental flexibility by shifting portfolio composition away from office exposure (reducing from ~40% to ~25% of portfolio) as the CRE market deteriorated [1]. The 42% dividend cut in Q1 2024 was a pragmatic survival decision. However, the core business model — originating transitional CRE senior loans — remains unchanged. No transformative pivot has occurred or been signaled.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The 42% dividend cut in early 2024 from $0.43 to $0.25 quarterly demonstrated willingness to sacrifice near-term shareholder satisfaction to preserve balance sheet strength during the CRE downturn [4]. Management increased credit reserves proactively rather than waiting for losses to materialize. However, these are standard risk management actions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KREF offers a high-yield income play backed by KKR's institutional real estate platform, trading at just 0.45x book value with a forward P/E of 11.7x and a 16% dividend yield at the reduced $1.00/year rate. The Q1 2026 consensus EPS estimate of $0.61 suggests a path to covering the dividend, and KKR's $70B+ real estate platform provides access to deal flow and workout expertise that standalone mortgage REITs lack [1][4]. If CRE credit conditions stabilize and interest rates decline, KREF's discount to book could narrow significantly, providing both income and capital appreciation.</w:t>
      </w:r>
    </w:p>
    <w:p>
      <w:pPr>
        <w:spacing w:after="120"/>
      </w:pPr>
      <w:r>
        <w:rPr>
          <w:rFonts w:ascii="Calibri" w:hAnsi="Calibri"/>
          <w:b w:val="0"/>
          <w:color w:val="3A4A28"/>
          <w:sz w:val="20"/>
        </w:rPr>
        <w:t>The bear case is substantial: Q1 2026 saw a net loss of $(0.96)/share with $73.5M in new credit provisions, and the $260.3M total allowance signals further pain in office and life science exposures [1]. D/E of 390% means even modest portfolio losses can rapidly erode equity. The dividend was already cut 42% and remains at risk if credit deterioration continues — the payout is not covered by current earnings. At $402M market cap, KREF is a small, illiquid vehicle heavily dependent on CRE recovery timing that management cannot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 rate cuts reducing borrower stress on floating-rate loans and compressing KREF's funding costs, potentially improving net interest margins by 50-100bps</w:t>
      </w:r>
    </w:p>
    <w:p>
      <w:pPr>
        <w:spacing w:before="40" w:after="40"/>
        <w:ind w:left="283"/>
      </w:pPr>
      <w:r>
        <w:rPr>
          <w:rFonts w:ascii="Calibri" w:hAnsi="Calibri"/>
          <w:b/>
          <w:color w:val="4A6B25"/>
          <w:sz w:val="20"/>
        </w:rPr>
        <w:t xml:space="preserve">2. </w:t>
      </w:r>
      <w:r>
        <w:rPr>
          <w:rFonts w:ascii="Calibri" w:hAnsi="Calibri"/>
          <w:b w:val="0"/>
          <w:color w:val="3A4A28"/>
          <w:sz w:val="20"/>
        </w:rPr>
        <w:t>Stabilization of office property values as return-to-office trends firm up, reducing credit provision requirements from the current $260.3M allowance</w:t>
      </w:r>
    </w:p>
    <w:p>
      <w:pPr>
        <w:spacing w:before="40" w:after="40"/>
        <w:ind w:left="283"/>
      </w:pPr>
      <w:r>
        <w:rPr>
          <w:rFonts w:ascii="Calibri" w:hAnsi="Calibri"/>
          <w:b/>
          <w:color w:val="4A6B25"/>
          <w:sz w:val="20"/>
        </w:rPr>
        <w:t xml:space="preserve">3. </w:t>
      </w:r>
      <w:r>
        <w:rPr>
          <w:rFonts w:ascii="Calibri" w:hAnsi="Calibri"/>
          <w:b w:val="0"/>
          <w:color w:val="3A4A28"/>
          <w:sz w:val="20"/>
        </w:rPr>
        <w:t>KKR's institutional platform enabling opportunistic loan originations at attractive spreads as competitors pull back from CRE lending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deterioration in office and life science CRE values forcing additional credit provisions beyond the $260.3M current allowance, further eroding book value</w:t>
      </w:r>
    </w:p>
    <w:p>
      <w:pPr>
        <w:spacing w:before="40" w:after="40"/>
        <w:ind w:left="283"/>
      </w:pPr>
      <w:r>
        <w:rPr>
          <w:rFonts w:ascii="Calibri" w:hAnsi="Calibri"/>
          <w:b/>
          <w:color w:val="4A6B25"/>
          <w:sz w:val="20"/>
        </w:rPr>
        <w:t xml:space="preserve">2. </w:t>
      </w:r>
      <w:r>
        <w:rPr>
          <w:rFonts w:ascii="Calibri" w:hAnsi="Calibri"/>
          <w:b w:val="0"/>
          <w:color w:val="3A4A28"/>
          <w:sz w:val="20"/>
        </w:rPr>
        <w:t>Interest rate volatility straining floating-rate borrowers and increasing default rates on KREF's $4.5B loan portfolio</w:t>
      </w:r>
    </w:p>
    <w:p>
      <w:pPr>
        <w:spacing w:before="40" w:after="40"/>
        <w:ind w:left="283"/>
      </w:pPr>
      <w:r>
        <w:rPr>
          <w:rFonts w:ascii="Calibri" w:hAnsi="Calibri"/>
          <w:b/>
          <w:color w:val="4A6B25"/>
          <w:sz w:val="20"/>
        </w:rPr>
        <w:t xml:space="preserve">3. </w:t>
      </w:r>
      <w:r>
        <w:rPr>
          <w:rFonts w:ascii="Calibri" w:hAnsi="Calibri"/>
          <w:b w:val="0"/>
          <w:color w:val="3A4A28"/>
          <w:sz w:val="20"/>
        </w:rPr>
        <w:t>Potential further dividend cut if net losses persist — Q1 2026 loss of $(0.96)/share far exceeds the $0.25 quarterly dividend, and sustained negative earnings would force another reduction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 pts (IMMUNE) — KREF's core business of originating and holding transitional CRE senior loans is fundamentally a physical-world, relationship-driven, and regulatory-intensive activity. Commercial real estate lending requires property inspections, legal documentation, borrower relationship management, and regulatory compliance that AI cannot structurally displace [1]. Mortgage REITs face no meaningful substitution risk from AI tools; if anything, AI may modestly improve underwriting speed and credit risk assessment. Analysts have flagged zero AI disruption concerns for mortgage REIT business models [2]. AI Opportunity: 0 pts — KREF generates no revenue from AI products or services. Parent KKR's AI strategy benefits the broader platform but has not translated into quantifiable AI revenue for KREF specifically.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KKR Real Estate Finance Trust Q1 2026 Earnings Release, April 22, 2026</w:t>
      </w:r>
    </w:p>
    <w:p>
      <w:pPr>
        <w:spacing w:before="20" w:after="20"/>
        <w:ind w:left="170"/>
      </w:pPr>
      <w:r>
        <w:rPr>
          <w:rFonts w:ascii="Calibri" w:hAnsi="Calibri"/>
          <w:b/>
          <w:color w:val="4A6B25"/>
          <w:sz w:val="15"/>
        </w:rPr>
        <w:t xml:space="preserve">2. </w:t>
      </w:r>
      <w:r>
        <w:rPr>
          <w:rFonts w:ascii="Calibri" w:hAnsi="Calibri"/>
          <w:b w:val="0"/>
          <w:color w:val="3A4A28"/>
          <w:sz w:val="17"/>
        </w:rPr>
        <w:t>KKR &amp; Co. AI Strategy and Technology Initiatives, KKR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KKR Real Estate Finance Trust corporate website — kkrreit.com,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KREF key statistics and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