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KRG</w:t>
      </w:r>
      <w:r>
        <w:rPr>
          <w:rFonts w:ascii="Calibri" w:hAnsi="Calibri"/>
          <w:b/>
          <w:color w:val="1A2010"/>
          <w:sz w:val="40"/>
        </w:rPr>
        <w:t xml:space="preserve">  Kite Realty Group Trust</w:t>
      </w:r>
    </w:p>
    <w:p>
      <w:pPr>
        <w:spacing w:after="120"/>
      </w:pPr>
      <w:r>
        <w:rPr>
          <w:rFonts w:ascii="Calibri" w:hAnsi="Calibri"/>
          <w:b/>
          <w:color w:val="6E8450"/>
          <w:sz w:val="18"/>
        </w:rPr>
        <w:t>DIVIDEND SLEEVE · 2026-04-20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Kite Realty Group Trust is a real estate investment trust that owns and operates a high-quality portfolio of open-air shopping centers and mixed-use destinations concentrated in high-growth Sun Belt and select strategic gateway markets. As of December 31, 2025, the Company owned interests in 169 U.S. open-air shopping centers and mixed-use assets comprising approximately 27.3 million square feet of gross leasable space. Publicly listed since 2004, KRG has more than six decades of experience in developing, operating, and investing in real estate.</w:t>
      </w:r>
    </w:p>
    <w:p>
      <w:r>
        <w:rPr>
          <w:rFonts w:ascii="Calibri" w:hAnsi="Calibri"/>
          <w:b/>
          <w:color w:val="6E8450"/>
          <w:sz w:val="18"/>
        </w:rPr>
        <w:t>228 Employees · https://www.kiterealty.com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KRG completed the transformative RPAl merger in 2021, nearly doubling its portfolio and establishing a Sun Belt-focused, open-air shopping center platform that has delivered 13.8% blended cash leasing spreads and same-property NOI growth of 2.9% in 2025 [1]. The company leased approximately 4.6 million square feet in 2025, demonstrating strong operational execution. AI Deployment (1/2): KRG hired Jack Rahner as SVP, Chief Technology &amp; Innovation Officer in April 2026 to lead AI and emerging technology integration across the platform, targeting productivity and competitiveness improvements [3]. This is an early-stage commitment with no quantified results yet. Market Share (1/2): KRG is a meaningful player in the open-air retail REIT space with 169 properties and $27.3M sq ft, though smaller than peers like Regency Centers and Federal Realty. The Sun Belt concentration provides demographic tailwinds [1]. Pipeline (0/2): No specific next-generation developments or acquisition targets with timelines and revenue visibility were identified. Growth is incremental through leasing spreads and NOI optimization. R&amp;D Intensity (1/1): KRG's recent senior leadership investments — hiring dedicated AI/technology, asset management, and finance executives — represent above-average organizational investment for a retail REIT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KRG's stated approach focuses on creating 'thriving, vibrant communities' through high-quality retail destinations, which is clear but not deeply distinctive among retail REITs. CEO John Kite has led the company since its 2004 IPO, providing consistent leadership, but the mission is operationally descriptive rather than aspirational. Community Impact (2/2): KRG has planted over 50,000 trees through its partnership with One Tree Planted (100 trees per comparable new lease signed since 2020), executed renewable energy power purchase agreements across multiple properties, and reduced Scope 1 and 2 GHG emissions by 7.9% year-over-year in 2023 [4]. These are specific, measurable environmental commitments that exceed industry norms. Employee Retention (0/2): With only 228 employees, retention data is limited. No specific tenure or turnover metrics were found. Insider Buying (1/2): CEO John Kite's 22-year tenure leading KRG since IPO and the Kite family's historical involvement suggest alignment, though specific recent open-market insider purchases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KRG's infrastructure benefits from moderate leverage, strong profit margins for a REIT, and growing dividends, offset by elevated forward P/E and modest revenue growth. D/E of 96.8% scores 0.883 against the 70% target — reasonable for a REIT [5]. ROE of 9.25% is below the 15% target but typical for retail REITs. Profit margin of 35.4% exceeds the 20% target, scoring 1.0 [5]. Revenue growth YoY of -3.8% is below target but same-property NOI grew 2.9% [1]. Forward P/E of 49.0x is elevated, reflecting the post-earnings normalization after FY2025's $298.7M net income included one-time items versus 2026 guidance of $0.36-0.42 per share [1]. Payout ratio of 78.8% is above the 40% target. The company has paid dividends consecutively since ~2020 (6 years post-COVID restart) and grown them for 4 consecutive years. 5yr dividend growth CAGR exceeds 15%, scoring at maximum. Liquidity: 1,794,635 avg volume x $26.72 = $47.9M daily — strong liquidity [5]. Core FFO of $2.06-2.12/share guided for 2026 with 2.25-3.25% same-property NOI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Kite Realty Group demonstrates solid infinite game characteristics grounded in CEO John Kite's 22-year tenure and six decades of family real estate experience. The company's consistent focus on high-quality open-air shopping centers through multiple market cycles — including the transformative RPAI merger and deliberate Sun Belt strategy — shows long-term thinking. However, the company's relatively small scale, generic mission articulation, and financial engineering focus (share buybacks, dividend optimization) prevent a higher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KRG's purpose of creating thriving community retail destinations has been consistent through 60+ years of real estate development and 20+ years as a public company under CEO John Kite [1]. The Sun Belt strategy and open-air focus represent a deliberate vision for the future of retail real estate. However, the cause is not boldly articulated as a transformative vision — it is operationally excellent but not inspirationally distinctive. The Just Cause reads more as sound business strategy than a purpose people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Kite's 22-year tenure since IPO provides exceptional leadership continuity [3]. The April 2026 appointment of three senior leaders — AI/technology, asset management, and finance — suggests deliberate organizational investment and empowerment. CEO Kite described these appointments as 'a powerful cohort of leaders who will fundamentally enhance how KRG operates,' signaling trust in new talent. However, with only 228 employees, evidence of broader organizational trust practices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KRG competes against larger retail REITs like Regency Centers, Federal Realty, and Kimco Realty, and management uses competitive dynamics to drive improvement in portfolio quality and leasing performance. The company's 13.8% blended cash leasing spreads and Sun Belt concentration strategy reflect lessons learned from peer competition, and management acknowledges competitors' strengths in earnings calls rather than dismissing them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RPAI merger was a transformative transaction that nearly doubled KRG's portfolio and decisively repositioned the company toward Sun Belt, open-air retail [1]. This was a bold strategic bet that fundamentally changed the company's scale and geographic mix. Additionally, KRG's recent hiring of a Chief Technology &amp; Innovation Officer to embed AI across operations represents forward-looking adaptation. However, the core business model remains the same — owning and operating retail shopping centers.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RPAI merger was a significant strategic move, KRG's ongoing capital allocation prioritizes steady dividend growth and portfolio optimization — prudent management rather than courageous long-term bets. No evidence of leadership sacrificing short-term results for transformative capability building or walking away from profitable but misaligned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Kite Realty Group Trust is a well-managed open-air retail REIT with 169 properties in high-growth Sun Belt markets, delivering consistent operational performance including Core FFO of $2.06/share (+3.5% YoY), same-property NOI growth of 2.9%, and 13.8% blended cash leasing spreads in 2025 [1]. The 4.34% dividend yield with 19%+ five-year growth CAGR offers attractive income with growth.</w:t>
      </w:r>
    </w:p>
    <w:p>
      <w:pPr>
        <w:spacing w:after="120"/>
      </w:pPr>
      <w:r>
        <w:rPr>
          <w:rFonts w:ascii="Calibri" w:hAnsi="Calibri"/>
          <w:b w:val="0"/>
          <w:color w:val="3A4A28"/>
          <w:sz w:val="20"/>
        </w:rPr>
        <w:t>KRG scores well on AI resilience (physical real estate immune to AI displacement) and infrastructure (moderate leverage, strong margins, growing dividend), but is held back by modest innovation and a mixed infinite game profile. Forward P/E of 49x appears elevated but is distorted by one-time items; on a Core FFO basis, the stock trades at ~13x 2026 estimates, which is reasonable for a growing retail REIT [1]. The 2026 guidance of 2.25-3.25% same-property NOI growth and Core FFO of $2.06-2.12/share provides steady, if unspectacular, growth. An Inspire score of +50 (ALIGNED) makes KRG one of the more faith-compatible REITs available. Key risk is the elevated payout ratio and dependence on continued tenant demand in a slowing economy.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 Belt demographic tailwinds — population migration to high-growth markets drives tenant demand and rental rate growth for KRG's 169-property portfolio</w:t>
      </w:r>
    </w:p>
    <w:p>
      <w:pPr>
        <w:spacing w:before="40" w:after="40"/>
        <w:ind w:left="283"/>
      </w:pPr>
      <w:r>
        <w:rPr>
          <w:rFonts w:ascii="Calibri" w:hAnsi="Calibri"/>
          <w:b/>
          <w:color w:val="4A6B25"/>
          <w:sz w:val="20"/>
        </w:rPr>
        <w:t xml:space="preserve">2. </w:t>
      </w:r>
      <w:r>
        <w:rPr>
          <w:rFonts w:ascii="Calibri" w:hAnsi="Calibri"/>
          <w:b w:val="0"/>
          <w:color w:val="3A4A28"/>
          <w:sz w:val="20"/>
        </w:rPr>
        <w:t>Same-property NOI growth guided at 2.25-3.25% for 2026 with 13.8% blended cash leasing spreads indicating significant embedded rent growth</w:t>
      </w:r>
    </w:p>
    <w:p>
      <w:pPr>
        <w:spacing w:before="40" w:after="40"/>
        <w:ind w:left="283"/>
      </w:pPr>
      <w:r>
        <w:rPr>
          <w:rFonts w:ascii="Calibri" w:hAnsi="Calibri"/>
          <w:b/>
          <w:color w:val="4A6B25"/>
          <w:sz w:val="20"/>
        </w:rPr>
        <w:t xml:space="preserve">3. </w:t>
      </w:r>
      <w:r>
        <w:rPr>
          <w:rFonts w:ascii="Calibri" w:hAnsi="Calibri"/>
          <w:b w:val="0"/>
          <w:color w:val="3A4A28"/>
          <w:sz w:val="20"/>
        </w:rPr>
        <w:t>AI and technology integration under new CTIO Jack Rahner could drive operational efficiency and data-driven leasing optimization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49x (distorted by GAAP earnings normalization) and payout ratio of 79% leave limited margin of safety if NOI growth decelerates</w:t>
      </w:r>
    </w:p>
    <w:p>
      <w:pPr>
        <w:spacing w:before="40" w:after="40"/>
        <w:ind w:left="283"/>
      </w:pPr>
      <w:r>
        <w:rPr>
          <w:rFonts w:ascii="Calibri" w:hAnsi="Calibri"/>
          <w:b/>
          <w:color w:val="4A6B25"/>
          <w:sz w:val="20"/>
        </w:rPr>
        <w:t xml:space="preserve">2. </w:t>
      </w:r>
      <w:r>
        <w:rPr>
          <w:rFonts w:ascii="Calibri" w:hAnsi="Calibri"/>
          <w:b w:val="0"/>
          <w:color w:val="3A4A28"/>
          <w:sz w:val="20"/>
        </w:rPr>
        <w:t>Retail REIT sector faces headwinds from potential economic slowdown that could reduce tenant demand and increase vacancy rates</w:t>
      </w:r>
    </w:p>
    <w:p>
      <w:pPr>
        <w:spacing w:before="40" w:after="40"/>
        <w:ind w:left="283"/>
      </w:pPr>
      <w:r>
        <w:rPr>
          <w:rFonts w:ascii="Calibri" w:hAnsi="Calibri"/>
          <w:b/>
          <w:color w:val="4A6B25"/>
          <w:sz w:val="20"/>
        </w:rPr>
        <w:t xml:space="preserve">3. </w:t>
      </w:r>
      <w:r>
        <w:rPr>
          <w:rFonts w:ascii="Calibri" w:hAnsi="Calibri"/>
          <w:b w:val="0"/>
          <w:color w:val="3A4A28"/>
          <w:sz w:val="20"/>
        </w:rPr>
        <w:t>Revenue declined 3.8% YoY despite same-property NOI growth, suggesting portfolio disposition activity or lease expirations may offset organic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KRG's core business of owning and operating physical open-air shopping centers is structurally immune to AI disruption. AI cannot replace the physical real estate that tenants need to operate retail stores, restaurants, and service businesses [1]. The open-air format is particularly resilient as it serves experiential retail, dining, and service tenants (medical, fitness, grocery) that require physical locations and cannot be digitized. The company's Sun Belt concentration in high-growth demographic markets provides additional protection as population growth drives physical retail demand. While AI-powered e-commerce could theoretically reduce demand for some retail space, KRG's focus on necessity-based and experiential tenants (grocery-anchored, service-oriented) minimizes this exposure. AI Opportunity (1/1): KRG has committed to AI integration by hiring a dedicated Chief Technology &amp; Innovation Officer to embed AI across the organization for productivity and competitiveness [3]. While not yet generating AI-specific revenue, the proactive technology investment positions KRG to optimize property management, tenant analytics, and operational efficiency through AI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Kite Realty Group Q4 and Full Year 2025 Results — Core FFO $2.06/share, same-property NOI +2.9%, 2026 guidance, ir.kiterealty.com, February 2026</w:t>
      </w:r>
    </w:p>
    <w:p>
      <w:pPr>
        <w:spacing w:before="20" w:after="20"/>
        <w:ind w:left="170"/>
      </w:pPr>
      <w:r>
        <w:rPr>
          <w:rFonts w:ascii="Calibri" w:hAnsi="Calibri"/>
          <w:b/>
          <w:color w:val="4A6B25"/>
          <w:sz w:val="15"/>
        </w:rPr>
        <w:t xml:space="preserve">2. </w:t>
      </w:r>
      <w:r>
        <w:rPr>
          <w:rFonts w:ascii="Calibri" w:hAnsi="Calibri"/>
          <w:b w:val="0"/>
          <w:color w:val="3A4A28"/>
          <w:sz w:val="17"/>
        </w:rPr>
        <w:t>Kite Realty Group Corporate Responsibility Report — One Tree Planted partnership, 50,000 trees, GHG reduction 7.9%, kiterealty.com, 2024</w:t>
      </w:r>
    </w:p>
    <w:p>
      <w:pPr>
        <w:spacing w:before="20" w:after="20"/>
        <w:ind w:left="170"/>
      </w:pPr>
      <w:r>
        <w:rPr>
          <w:rFonts w:ascii="Calibri" w:hAnsi="Calibri"/>
          <w:b/>
          <w:color w:val="4A6B25"/>
          <w:sz w:val="15"/>
        </w:rPr>
        <w:t xml:space="preserve">3. </w:t>
      </w:r>
      <w:r>
        <w:rPr>
          <w:rFonts w:ascii="Calibri" w:hAnsi="Calibri"/>
          <w:b w:val="0"/>
          <w:color w:val="3A4A28"/>
          <w:sz w:val="17"/>
        </w:rPr>
        <w:t>Kite Realty Group Senior Leadership Appointments — CTIO Jack Rahner, AI integration, CEO John Kite commentary, GlobeNewswire,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Kite Realty Group ESG and Corporate Responsibility — renewable energy, environmental commitments, kiterealty.com,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KRG key statistics, D/E 96.8%, dividend yield 4.34%, Forward P/E 49.0x,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