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KRMN</w:t>
      </w:r>
      <w:r>
        <w:rPr>
          <w:rFonts w:ascii="Calibri" w:hAnsi="Calibri"/>
          <w:b/>
          <w:color w:val="1A2010"/>
          <w:sz w:val="40"/>
        </w:rPr>
        <w:t xml:space="preserve">  Karman Holdings Inc.</w:t>
      </w:r>
    </w:p>
    <w:p>
      <w:pPr>
        <w:spacing w:after="120"/>
      </w:pPr>
      <w:r>
        <w:rPr>
          <w:rFonts w:ascii="Calibri" w:hAnsi="Calibri"/>
          <w:b/>
          <w:color w:val="6E8450"/>
          <w:sz w:val="18"/>
        </w:rPr>
        <w:t>GROWTH SLEEVE · 2026-04-17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Karman Holdings Inc. designs, tests, manufactures, and sells mission-critical systems for space and defense applications, including payload protection and deployment systems, aerodynamic interstage systems, and propulsion systems. The company serves hypersonics, strategic missile defense, tactical missile, integrated defense, space, and launch markets. Incorporated in 2020 and headquartered in Huntington Beach, California, Karman operates as a subsidiary of TCFIII Spaceco SPV LP.</w:t>
      </w:r>
    </w:p>
    <w:p>
      <w:r>
        <w:rPr>
          <w:rFonts w:ascii="Calibri" w:hAnsi="Calibri"/>
          <w:b/>
          <w:color w:val="6E8450"/>
          <w:sz w:val="18"/>
        </w:rPr>
        <w:t>1,400 Employees · https://karman-sd.com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Karman achieved 37% revenue growth in FY2025 to $471.5M and raised FY2026 guidance to $715-730M (52-55% growth), driven by organic expansion and the January 2026 acquisition of Seemann Composites and MSC for maritime defense capabilities [1]. The funded backlog exceeded $1B, validating execution. AI Deployment (0/2): No evidence of AI-powered products or AI-driven cost savings. Karman's manufacturing of physical propulsion and payload systems is inherently hardware-focused [2]. Market Share (2/2): Karman is establishing itself as a critical sole-source or key supplier for next-generation missile defense and hypersonics programs, winning multi-year government contracts in a market experiencing generational demand increases [1]. Pipeline (1/2): FY2026 guidance of $715-730M revenue with $207-218M adjusted EBITDA provides clear near-term visibility, and the $1B+ funded backlog extends multi-year, but specific new program wins are not individually named [1]. R&amp;D Intensity (1/1): Karman invests in advanced composites, resin systems, and propulsion technology through its acquisitions and organic R&amp;D, above peers in the defense subcontractor segment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Karman's mission centers on solving complex challenges for space and defense primes — specific to its niche but not aspirational beyond serving its customers. The mission reads as functional and market-focused rather than transformative [2]. Community Impact (1/2): Karman employs 1,400 people with highly skilled manufacturing jobs in aerospace. The January 2026 Seemann Composites acquisition preserved and expanded jobs in specialized composites manufacturing [1]. Employee Retention (1/2): The leadership team averages 20+ years of experience across aerospace and defense, suggesting strong retention of senior talent. CEO Jon Rambeau (30 years in defense) and new CGO Doug Laurendeau (40 years at Lockheed Martin) represent deep industry commitment [2]. Insider Buying (1/2): As a recently IPO'd company backed by TCFIII Spaceco SPV LP (private equity), insider alignment is through equity ownership rather than open-market buying. Limited public insider transaction data post-IPO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Karman shows explosive top-line growth but immature profitability typical of a recently public defense subcontractor. Revenue growth of 47.4% YoY and a 27.7% 3-year CAGR demonstrate exceptional demand [1]. D/E of 153.5% reflects acquisition-driven leverage with $587M debt against $34M cash, manageable given the $1B+ backlog visibility [4]. ROE of 6.0% is well below the 15% target, reflecting thin margins on a high-goodwill balance sheet post-IPO [4]. Profit margin of 3.7% is slim, though adjusted EBITDA margin of 30.8% tells a different story when excluding non-cash charges [1]. Forward P/E of 89.9x vastly exceeds the 60x floor, scoring zero — the market is pricing in years of earnings growth that has yet to materialize in GAAP profitability [4]. PEG ratio unavailable. Liquidity at $181.7M daily turnover provides ample trading capacity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Karman is a young company (incorporated 2020) playing in a long-cycle defense market that inherently rewards infinite-game thinking through multi-year government contracts and generational program involvement. However, as a PE-backed entity with aggressive acquisition-driven growth, the company's strategic horizon is shaped more by financial engineering and scale than by a deeply held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Karman's stated mission is to help 'space and defense primes solve complex challenges and enable mission success' — functional and customer-serving but not a Just Cause in the Sinek sense [2]. The company exists to manufacture defense hardware profitably, not to advance a vision of a future that does not yet exist. As a PE-backed entity, the primary driver is value creation for TCFIII Spaceco SPV LP. Score: 1 point (shallow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averaging 20+ years of A&amp;D experience and the smooth CEO transition from Tony Koblinski (retired after 40 years) to Jon Rambeau (30 years) in March 2026 suggest organizational stability and trust [2]. Doug Laurendeau joining as CGO after 40 years at Lockheed Martin indicates Karman attracts senior talent who believe in the mission. However, the company is only 6 years old and integrating multiple acquisitions, which tests organizational cohesion.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Karman positions itself as a partner to defense primes (Lockheed, Northrop, Raytheon) rather than a competitor, which is a pragmatic market stance rather than an infinite-game mindset [2]. No evidence of management referencing competitors' strengths as motivation for self-improvement. The company's narrative is about market capture and scale. Score: 0 points (no infinite competitive mindset evident).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Karman has shown strategic flexibility through acquisitions — Seemann Composites and MSC in January 2026 expanded from space/missile into maritime defense, demonstrating willingness to evolve the business [1]. However, these are additive expansions rather than transformative pivots, and as a 6-year-old company, Karman has not yet faced the existential test of needing to abandon a core business. Score: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Karman's aggressive capital deployment — $587M in debt to fund acquisitions while still generating negative free cash flow of -$41M — represents a bet on long-term defense spending growth that requires conviction [4]. The decision to IPO and raise capital for expansion rather than being acquired shows strategic ambition. However, leverage-driven growth in a favorable market environment is more financially rational than truly courageous.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Karman Holdings is a pure-play defense subcontractor riding a generational increase in missile, hypersonics, and space launch demand. FY2025 revenue grew 37% to $471.5M with adjusted EBITDA of $145.3M (30.8% margin), and FY2026 guidance of $715-730M revenue (52-55% growth) with $207-218M EBITDA demonstrates accelerating momentum [1]. The $1B+ funded backlog provides multi-year revenue visibility, and the January 2026 Seemann Composites acquisition expands into maritime defense composites. Under new CEO Jon Rambeau (30-year defense veteran from L3Harris), Karman is positioned as a critical supplier of payload protection, propulsion, and interstage systems for programs that cannot be delayed or cancelled given the geopolitical environment [2]. The U.S. defense budget trajectory and missile stockpile replenishment needs provide secular tailwinds.</w:t>
      </w:r>
    </w:p>
    <w:p>
      <w:pPr>
        <w:spacing w:after="120"/>
      </w:pPr>
      <w:r>
        <w:rPr>
          <w:rFonts w:ascii="Calibri" w:hAnsi="Calibri"/>
          <w:b w:val="0"/>
          <w:color w:val="3A4A28"/>
          <w:sz w:val="20"/>
        </w:rPr>
        <w:t>The bear case centers on extreme valuation, leverage, and execution risk. At 676x trailing P/E and 89.9x forward P/E on just $0.13 trailing EPS, Karman is priced for perfection — any execution stumble would trigger severe multiple compression [4]. The stock has already declined 15.4% from its $118.38 high despite raising guidance, suggesting the market is skeptical of the valuation [1]. D/E of 153.5% with $587M debt and negative free cash flow of -$41M creates balance sheet fragility if defense spending stalls [4]. Profit margin of just 3.7% on a GAAP basis raises questions about actual earnings quality versus adjusted EBITDA storytelling. As a PE-backed company (TCFIII Spaceco SPV LP), overhang from potential secondary offerings could pressure the stock. The acquisition integration of Seemann Composites adds execution risk to an already complex operational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$715-730M (52-55% growth) with expanding EBITDA margins of $207-218M, driven by generational missile and space launch demand [1]</w:t>
      </w:r>
    </w:p>
    <w:p>
      <w:pPr>
        <w:spacing w:before="40" w:after="40"/>
        <w:ind w:left="283"/>
      </w:pPr>
      <w:r>
        <w:rPr>
          <w:rFonts w:ascii="Calibri" w:hAnsi="Calibri"/>
          <w:b/>
          <w:color w:val="4A6B25"/>
          <w:sz w:val="20"/>
        </w:rPr>
        <w:t xml:space="preserve">2. </w:t>
      </w:r>
      <w:r>
        <w:rPr>
          <w:rFonts w:ascii="Calibri" w:hAnsi="Calibri"/>
          <w:b w:val="0"/>
          <w:color w:val="3A4A28"/>
          <w:sz w:val="20"/>
        </w:rPr>
        <w:t>Seemann Composites and MSC acquisition integration expanding Karman's addressable market into maritime defense composites and resin systems [1]</w:t>
      </w:r>
    </w:p>
    <w:p>
      <w:pPr>
        <w:spacing w:before="40" w:after="40"/>
        <w:ind w:left="283"/>
      </w:pPr>
      <w:r>
        <w:rPr>
          <w:rFonts w:ascii="Calibri" w:hAnsi="Calibri"/>
          <w:b/>
          <w:color w:val="4A6B25"/>
          <w:sz w:val="20"/>
        </w:rPr>
        <w:t xml:space="preserve">3. </w:t>
      </w:r>
      <w:r>
        <w:rPr>
          <w:rFonts w:ascii="Calibri" w:hAnsi="Calibri"/>
          <w:b w:val="0"/>
          <w:color w:val="3A4A28"/>
          <w:sz w:val="20"/>
        </w:rPr>
        <w:t>New CEO Jon Rambeau's track record of driving growth at L3Harris ($8B segment) applied to Karman's scaled platform with $1B+ funded backlog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89.9x forward P/E with negative free cash flow — any revenue miss or margin disappointment could trigger 30%+ downside given the growth premium embedded in the stock [4]</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$587M debt (153.5% D/E) and -$41M free cash flow, creating refinancing vulnerability if rates remain elevated or defense spending decelerates [4]</w:t>
      </w:r>
    </w:p>
    <w:p>
      <w:pPr>
        <w:spacing w:before="40" w:after="40"/>
        <w:ind w:left="283"/>
      </w:pPr>
      <w:r>
        <w:rPr>
          <w:rFonts w:ascii="Calibri" w:hAnsi="Calibri"/>
          <w:b/>
          <w:color w:val="4A6B25"/>
          <w:sz w:val="20"/>
        </w:rPr>
        <w:t xml:space="preserve">3. </w:t>
      </w:r>
      <w:r>
        <w:rPr>
          <w:rFonts w:ascii="Calibri" w:hAnsi="Calibri"/>
          <w:b w:val="0"/>
          <w:color w:val="3A4A28"/>
          <w:sz w:val="20"/>
        </w:rPr>
        <w:t>PE ownership overhang — TCFIII Spaceco SPV LP could execute secondary offerings that increase float and pressure the stock price as lock-up periods expire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Karman manufactures physical propulsion systems, payload fairings, and aerodynamic interstage structures for missiles and rockets — hardware that must be physically produced, tested, and delivered regardless of AI advancement [1]. Defense procurement operates through classified multi-year government contracts with stringent quality certifications (ITAR, security clearances) that AI cannot bypass. The generational increase in missile and munitions demand driven by geopolitical tensions actually increases demand for Karman's products. AI may marginally improve Karman's manufacturing processes through digital twin modeling and quality control, but poses zero substitution risk to the core business [2]. AI Opportunity (0/1): No AI-related revenue. Karman's products are physical hardware systems; the company does not sell software or AI-enabled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Simply Wall St — Karman Q4 FY2025 results, FY2026 guidance raise, $1B+ backlog, and Seemann acquisition,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Karman-sd.com — Jon Rambeau CEO appointment, Doug Laurendeau CGO hire, leadership team profiles, March 2026</w:t>
      </w:r>
    </w:p>
    <w:p>
      <w:pPr>
        <w:spacing w:before="20" w:after="20"/>
        <w:ind w:left="170"/>
      </w:pPr>
      <w:r>
        <w:rPr>
          <w:rFonts w:ascii="Calibri" w:hAnsi="Calibri"/>
          <w:b/>
          <w:color w:val="4A6B25"/>
          <w:sz w:val="15"/>
        </w:rPr>
        <w:t xml:space="preserve">3. </w:t>
      </w:r>
      <w:r>
        <w:rPr>
          <w:rFonts w:ascii="Calibri" w:hAnsi="Calibri"/>
          <w:b w:val="0"/>
          <w:color w:val="3A4A28"/>
          <w:sz w:val="17"/>
        </w:rPr>
        <w:t>CapEdge / SEC filings — Karman Holdings ESG data and 10-K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yfinance data for KRMN (Karman Holdings),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