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KVUE</w:t>
      </w:r>
      <w:r>
        <w:rPr>
          <w:rFonts w:ascii="Calibri" w:hAnsi="Calibri"/>
          <w:b/>
          <w:color w:val="1A2010"/>
          <w:sz w:val="40"/>
        </w:rPr>
        <w:t xml:space="preserve">  Kenvue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2026-03-23 · Inspire: 54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Household &amp; Personal Products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Kenvue is the world's largest pure-play consumer health company, spun off from Johnson &amp; Johnson in 2023. It operates iconic brands including Tylenol, Listerine, Band-Aid, Aveeno, and Neutrogena across Self Care, Skin Health, and Essential Health segments. A $48.7 billion merger with Kimberly-Clark is pending.</w:t>
      </w:r>
    </w:p>
    <w:p>
      <w:r>
        <w:rPr>
          <w:rFonts w:ascii="Calibri" w:hAnsi="Calibri"/>
          <w:b/>
          <w:color w:val="6E8450"/>
          <w:sz w:val="18"/>
        </w:rPr>
        <w:t>21,780 Employees · https://www.kenvue.com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Kenvue's brand portfolio is strong but innovation is incremental — reformulations and line extensions rather than breakthrough products [1]. The Kimberly-Clark merger creates a consumer health and hygiene powerhouse, but integration risk is significant. Q4 organic growth of just 1.2% driven by pricing (2.3%) offset by volume decline (-1.1%) suggests limited innovation-driven demand pull [1]. R&amp;D intensity is below pharma peers at ~3% of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Kenvue's mission of 'everyday care' through trusted brands resonates at a consumer level, and activist investor Starboard's $55.6 million share purchase signals external confidence [1]. However, the CFO departure during the Kimberly-Clark integration, a 3.5% global workforce reduction ($250 million restructuring), and no forward guidance due to the pending deal create uncertainty for employees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Kenvue trades at a 14.4x forward P/E with a 4.8% dividend yield, though the 109% payout ratio is unsustainable without earnings growth [1]. Gross margins of 56.5% are healthy for consumer health, and ROE of 14.4% is adequate. Revenue of $15.12 billion grew just 3.2% YoY with D/E of 80.6% [2]. The Kimberly-Clark deal could create synergies but also adds integration complexity.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Kenvue shows mixed infinite game traits — the century-old brand portfolio represents enduring consumer trust, but the rapid pivot to a Kimberly-Clark merger just two years after the J&amp;J spinoff, CFO departure, and 3.5% workforce reduction suggest a company still searching for its long-term identity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Making everyday health and hygiene products accessible worldwide is a genuine just cause rooted in brands people trust. However, Kenvue's 'everyday care' mission feels generic rather than inspiring, lacking the specificity to rally employees or differentiate from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CFO departure during the merger, 3.5% workforce reduction, and two-year-old company still building its independent culture create trust challenges [1]. Employees face uncertainty about roles in the combined Kenvue-Kimberly-Clark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Kenvue competes with Procter &amp; Gamble, Unilever, and Reckitt Benckiser using brand heritage as its primary differentiator. The Kimberly-Clark merger is partially a response to competitive scale disadvantages rather than a proactive innovation move.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$48.7 billion Kimberly-Clark merger shows willingness to fundamentally reshape the company, but this is only two years after spinning off from J&amp;J — suggesting Kenvue's standalone thesis was never fully validated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Pursuing a transformative merger while managing a new public company takes courage, but the decision not to provide forward guidance and the CFO's departure create an impression of leadership uncertainty during a critical transition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Kenvue offers defensive exposure at a 14.4x forward P/E with a 4.8% dividend yield and a portfolio of century-old consumer health brands generating $15.12 billion in annual revenue [1]. The $48.7 billion Kimberly-Clark merger, approved by shareholders in January 2026, could unlock significant cost synergies in a combined hygiene and consumer health platform. Activist investor Starboard's $55.6 million share purchase suggests external conviction in the value creation opportunity, and gross margins of 56.5% provide a strong profit floor.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merger execution risk — integrating two large consumer companies while managing CFO departure, 3.5% workforce reduction, and regulatory approvals creates significant operational distraction [1]. Organic growth of just 1.2% with volume declines suggests weak underlying demand, and the 109% payout ratio means the dividend requires earnings improvement to sustain. The company suspended forward guidance due to the pending deal, leaving investors flying blind on near-term fundamentals, and the short dividend history (2 years) means income investors lack the track record they typically demand.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Kimberly-Clark merger expected to close H2 2026, potentially unlocking $500M+ in cost synergies from combined manufacturing and distribution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Post-merger brand portfolio rationalization could identify $500M+ in underperforming SKUs for pruning, redirecting investment to growth brands like Aveeno and Neutrogena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Starboard Value activist involvement could drive margin improvement initiatives and strategic brand portfolio optimization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Merger integration of two ~$15B revenue companies carries high execution risk — consumer brand companies historically struggle with large M&amp;A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payout ratio of 109% is unsustainable; a cut would remove the primary bull case for income-oriented investors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Volume decline of 1.1% in Q4 suggests underlying demand weakness that pricing power alone cannot offset long-term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Consumer health products are highly resistant to AI disruption — Tylenol, Listerine, and Band-Aid sales are driven by brand trust, retail distribution, and habitual purchase behavior that AI cannot easily displace [1]. AI provides moderate upside through supply chain optimization, personalized digital marketing, and demand forecasting, but Kenvue's competitive moat is built on brand equity and shelf space rather than technology.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Kenvue Q4 and Full Year 2025 Results,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KVUE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Kenvue-Kimberly-Clark merger announcement and shareholder vote, January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