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KW</w:t>
      </w:r>
      <w:r>
        <w:rPr>
          <w:rFonts w:ascii="Calibri" w:hAnsi="Calibri"/>
          <w:b/>
          <w:color w:val="1A2010"/>
          <w:sz w:val="40"/>
        </w:rPr>
        <w:t xml:space="preserve">  Kennedy-Wilson Holdings, Inc.</w:t>
      </w:r>
    </w:p>
    <w:p>
      <w:pPr>
        <w:spacing w:after="120"/>
      </w:pPr>
      <w:r>
        <w:rPr>
          <w:rFonts w:ascii="Calibri" w:hAnsi="Calibri"/>
          <w:b/>
          <w:color w:val="6E8450"/>
          <w:sz w:val="18"/>
        </w:rPr>
        <w:t>DIVIDEND SLEEVE · 2026-04-28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Real Estate Services · NYSE · United States</w:t>
      </w:r>
    </w:p>
    <w:p>
      <w:pPr>
        <w:spacing w:after="80"/>
      </w:pPr>
      <w:r>
        <w:rPr>
          <w:rFonts w:ascii="Calibri" w:hAnsi="Calibri"/>
          <w:b w:val="0"/>
          <w:color w:val="3A4A28"/>
          <w:sz w:val="20"/>
        </w:rPr>
        <w:t>Kennedy-Wilson Holdings, Inc. is a global real estate investment company with $36 billion in assets under management, focusing on multifamily rental housing, industrial properties, and real estate debt origination. Founded in 1977 and headquartered in Beverly Hills, California, the company operates across the U.S., U.K., Ireland, Spain, Jersey, and Japan. In February 2026, KW entered into a definitive agreement to be acquired by a consortium led by Chairman/CEO William McMorrow and Fairfax Financial Holdings at $10.90 per share.</w:t>
      </w:r>
    </w:p>
    <w:p>
      <w:r>
        <w:rPr>
          <w:rFonts w:ascii="Calibri" w:hAnsi="Calibri"/>
          <w:b/>
          <w:color w:val="6E8450"/>
          <w:sz w:val="18"/>
        </w:rPr>
        <w:t>321 Employees · https://www.kennedywilson.com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Kennedy-Wilson completed the acquisition of the Toll Brothers Apartment Living platform in three phases (Q4 2025 through Q1 2026) for $334M total, adding $5B in AUM — the most significant strategic move in recent years [1]. However, the core business model of acquiring and managing real estate assets has not fundamentally changed in decades. Revenue declined from $562.6M in 2023 to $501M in 2025, with net income swinging wildly from -$303.8M in 2023 to +$4.7M in 2025. AI Deployment (0/2): No evidence of AI-powered products, AI-driven cost savings, or meaningful AI deployment in Kennedy-Wilson's real estate operations. The company operates a traditional real estate investment model without significant technology differentiation. Market Share (1/2): KW manages $36B in AUM, making it a meaningful player in global real estate investment, but it is dwarfed by Blackstone, Brookfield, and other major real estate platforms [1]. The company holds strong positions in specific markets (Dublin multifamily, Western U.S.) but is not a category leader. Product Pipeline (0/2): No specific next-generation product launches or new platform developments beyond the Toll Brothers integration. The pipeline consists of incremental real estate acquisitions and development projects. R&amp;D Intensity (1/1): Investment management fees grew 8% in Q3 2025 and 23% year-to-date, reflecting platform development effort, though this is not traditional R&amp;D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Kennedy-Wilson's corporate responsibility page emphasizes creating long-term value for shareholders, communities, and employees, with a focus on sustainable real estate development [3]. This is clear and connects the company's work to community impact, but it's not distinctively purposeful — most real estate firms articulate similar commitments. Community Impact (1/2): The company publishes annual ESG reports and has committed to energy-efficient, low-carbon new developments with documented social benefits alongside programs for enhancing environmental performance of existing portfolios [3]. Specific charitable programs or community investment dollar amounts were not found. Employee Retention (1/2): CEO William McMorrow acquired Kennedy Wilson in 1988 and has led for 38 years, growing from 11 employees to a $36B AUM platform — extraordinary founder-led continuity rare in any industry [2]. The entrepreneurial, collaborative culture encourages proactive identification of investment opportunities, suggesting genuine employee engagement. Insider Buying (1/2): The pending management-led buyout at $10.90/share (announced February 2026) represents the ultimate insider conviction — McMorrow and senior executives are investing their own capital to take the company private, though this also eliminates public shareholders' future upside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Kennedy-Wilson's financial profile scores poorly on the mechanical Infrastructure calculation, reflecting the company's highly leveraged real estate model and recent earnings deterioration. D/E of 287% is near the 300% floor, typical for leveraged real estate but representing significant balance sheet risk [4]. ROE of 1.48% is barely positive after recovering from net losses of -$303.8M in 2023 and -$33M in 2024 [4]. Revenue declined 5.7% YoY with a 3-year CAGR of -2.5%. Forward P/E is negative at -10.2x, reflecting analyst expectations of continued losses. Profit margin of 0.87% is razor-thin. The dividend story has deteriorated: payout ratio of 355% is unsustainable, and the annual dividend was cut from $0.96 in 2022-2023 to $0.60 in 2024 and $0.48 in 2025 — ending a streak of consecutive increases. The only bright spot is 16 consecutive years of dividend payments (dating to 2011). Liquidity floor cleared: 1.41M avg volume x $10.90 = $15.4M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Kennedy-Wilson demonstrates strong founder-led continuity with McMorrow's 38-year tenure, but the pending management buyout at $10.90/share, consecutive dividend cuts, and deteriorating financial performance raise questions about whether the company is playing to endure or playing to extract remaining value. The take-private transaction suggests leadership believes in long-term value but eliminates public shareholders from participating in the upside.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Kennedy-Wilson's purpose centers on creating long-term real estate value across global markets, but this reads as a business objective rather than a Just Cause — there is no articulated vision of a future state that transcends the company's commercial interests [3]. McMorrow's 38-year commitment to building the platform from 11 employees to $36B AUM demonstrates deep personal dedication, but the motivation appears to be wealth creation and real estate entrepreneurship rather than a cause that invites sacrifice. The pending management buyout prioritizes insider control over public shareholder participation. Score: 1 weighted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Kennedy-Wilson's entrepreneurial culture emphasizes collaboration and proactive investment identification, and the company's 321-person workforce has maintained operational coherence across 15 global offices [2]. McMorrow's 38-year leadership provides extraordinary stability. However, the management buyout consortium structure — where executives are acquiring the company — creates a potential trust issue with remaining employees who may face uncertain employment post-transaction. Score: 1 weighted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Kennedy-Wilson competes against Blackstone, Brookfield, Starwood, and other major real estate platforms, but management commentary tends to focus on Kennedy-Wilson's own deal flow and AUM growth rather than learning from competitors' strengths. No evidence of the worthy rival mindset in public communications. Score: 0 weighted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Kennedy-Wilson has evolved meaningfully over its history — from a traditional real estate services firm to a global investment platform with $36B AUM, adding real estate debt origination, investment management, and international expansion across the U.K., Ireland, and Japan [1]. The shift toward multifamily and industrial away from office and retail reflects strategic adaptation to post-COVID real estate trends. The pending take-private represents another transformation, though it is motivated by financial engineering rather than cause-driven reinvention.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McMorrow demonstrated courage by acquiring Kennedy Wilson in 1988 and building it into a global platform through multiple real estate cycles, including surviving the 2008-2009 financial crisis by counter-cyclically acquiring distressed assets [2]. The Toll Brothers Apartment Living acquisition ($334M) during a period of real estate market uncertainty shows continued willingness to make large bets [1]. However, the consecutive dividend cuts (from $0.96 to $0.48 annually) suggest prioritizing financial survival over shareholder returns, and the management buyout at $10.90 — near 52-week lows — could be viewed as taking advantage of a depressed share price.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Kennedy-Wilson is effectively a closed investment thesis — the company entered into a definitive agreement in February 2026 to be acquired by a consortium led by CEO McMorrow and Fairfax Financial Holdings at $10.90 per share in cash, with the stock trading at the deal price [1]. The $36B AUM platform anchored by multifamily housing and industrial properties represents durable real estate value, and the Toll Brothers Apartment Living acquisition ($334M for $5B AUM) demonstrates management's conviction in the growth trajectory [1]. Investment management fees grew 23% year-to-date through Q3 2025, reflecting the platform's expanding fee-generating capacity. The Inspire Impact Score of 54 (ALIGNED) with 13 positive attributions reflects genuine ESG commitment in real estate development and operations [3].</w:t>
      </w:r>
    </w:p>
    <w:p>
      <w:pPr>
        <w:spacing w:after="120"/>
      </w:pPr>
      <w:r>
        <w:rPr>
          <w:rFonts w:ascii="Calibri" w:hAnsi="Calibri"/>
          <w:b w:val="0"/>
          <w:color w:val="3A4A28"/>
          <w:sz w:val="20"/>
        </w:rPr>
        <w:t>The bear case is largely moot given the pending buyout, but the transaction itself raises concerns. The $10.90 per share price — representing the CEO taking the company private near multi-year lows — suggests management believes the intrinsic value significantly exceeds the buyout price, effectively transferring upside from public shareholders to insiders. The financial profile is distressed: D/E of 287%, ROE of 1.48%, profit margin of 0.87%, and consecutive dividend cuts from $0.96 to $0.48 annually signal a leveraged real estate platform struggling with higher interest rates and property value declines [4]. Revenue has declined from $562.6M in 2023 to $501M in 2025, and cumulative net losses from 2023-2024 totaled $336.8M. The forward P/E of -10.2x reflects analyst expectations of continued losses. For existing shareholders, the primary risk is deal failure — if the buyout does not close, the stock would likely decline significantly given the underlying financial deterioration.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Pending management buyout at $10.90/share led by CEO McMorrow and Fairfax Financial provides a defined exit for public shareholders at the current price [1]</w:t>
      </w:r>
    </w:p>
    <w:p>
      <w:pPr>
        <w:spacing w:before="40" w:after="40"/>
        <w:ind w:left="283"/>
      </w:pPr>
      <w:r>
        <w:rPr>
          <w:rFonts w:ascii="Calibri" w:hAnsi="Calibri"/>
          <w:b/>
          <w:color w:val="4A6B25"/>
          <w:sz w:val="20"/>
        </w:rPr>
        <w:t xml:space="preserve">2. </w:t>
      </w:r>
      <w:r>
        <w:rPr>
          <w:rFonts w:ascii="Calibri" w:hAnsi="Calibri"/>
          <w:b w:val="0"/>
          <w:color w:val="3A4A28"/>
          <w:sz w:val="20"/>
        </w:rPr>
        <w:t>Toll Brothers Apartment Living platform acquisition ($334M for $5B AUM) positions the company for multifamily growth once interest rate headwinds abate [1]</w:t>
      </w:r>
    </w:p>
    <w:p>
      <w:pPr>
        <w:spacing w:before="40" w:after="40"/>
        <w:ind w:left="283"/>
      </w:pPr>
      <w:r>
        <w:rPr>
          <w:rFonts w:ascii="Calibri" w:hAnsi="Calibri"/>
          <w:b/>
          <w:color w:val="4A6B25"/>
          <w:sz w:val="20"/>
        </w:rPr>
        <w:t xml:space="preserve">3. </w:t>
      </w:r>
      <w:r>
        <w:rPr>
          <w:rFonts w:ascii="Calibri" w:hAnsi="Calibri"/>
          <w:b w:val="0"/>
          <w:color w:val="3A4A28"/>
          <w:sz w:val="20"/>
        </w:rPr>
        <w:t>Investment management fee growth of 23% year-to-date through Q3 2025 demonstrates expanding platform value and recurring revenue potential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Management buyout deal failure — if the $10.90/share acquisition does not close due to regulatory, financing, or shareholder approval issues, the stock would likely decline sharply given underlying financial weakness [1]</w:t>
      </w:r>
    </w:p>
    <w:p>
      <w:pPr>
        <w:spacing w:before="40" w:after="40"/>
        <w:ind w:left="283"/>
      </w:pPr>
      <w:r>
        <w:rPr>
          <w:rFonts w:ascii="Calibri" w:hAnsi="Calibri"/>
          <w:b/>
          <w:color w:val="4A6B25"/>
          <w:sz w:val="20"/>
        </w:rPr>
        <w:t xml:space="preserve">2. </w:t>
      </w:r>
      <w:r>
        <w:rPr>
          <w:rFonts w:ascii="Calibri" w:hAnsi="Calibri"/>
          <w:b w:val="0"/>
          <w:color w:val="3A4A28"/>
          <w:sz w:val="20"/>
        </w:rPr>
        <w:t>Severe leverage — D/E of 287% creates amplified exposure to interest rate increases and property value declines, with minimal equity cushion against further asset writedowns [4]</w:t>
      </w:r>
    </w:p>
    <w:p>
      <w:pPr>
        <w:spacing w:before="40" w:after="40"/>
        <w:ind w:left="283"/>
      </w:pPr>
      <w:r>
        <w:rPr>
          <w:rFonts w:ascii="Calibri" w:hAnsi="Calibri"/>
          <w:b/>
          <w:color w:val="4A6B25"/>
          <w:sz w:val="20"/>
        </w:rPr>
        <w:t xml:space="preserve">3. </w:t>
      </w:r>
      <w:r>
        <w:rPr>
          <w:rFonts w:ascii="Calibri" w:hAnsi="Calibri"/>
          <w:b w:val="0"/>
          <w:color w:val="3A4A28"/>
          <w:sz w:val="20"/>
        </w:rPr>
        <w:t>Consecutive dividend cuts from $0.96 to $0.48 annually and forward P/E of -10.2x signal a company in financial distress, with payout ratio of 355% indicating the current dividend is unsustainable without a fundamental earnings recovery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Kennedy-Wilson's core business — owning, operating, and managing physical real estate assets (multifamily housing, industrial properties, office buildings) — is structurally immune to AI disruption [2]. Physical real estate cannot be digitally replicated. Property management, tenant relationships, construction, and maintenance are hands-on operations with no AI substitution pathway. Real estate debt origination requires human judgment, legal expertise, and relationship management that AI augments but cannot replace. The investment management platform ($36B AUM) relies on experience-based judgment about market cycles, property valuations, and development opportunities that resist algorithmic replacement. AI may marginally improve property management efficiency or investment underwriting, but the core value creation — acquiring and developing physical assets — remains AI-immune. AI Opportunity (0/1): Kennedy-Wilson does not generate revenue from AI-related products or services. No evidence of AI deployment generating quantifiable revenue or cost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Kennedy-Wilson Q4 and Full Year 2025 Results — $501M revenue, management buyout agreement at $10.90/share, Toll Brothers Apartment Living acquisition, investment management fee growth; BusinessWire, February 2026</w:t>
      </w:r>
    </w:p>
    <w:p>
      <w:pPr>
        <w:spacing w:before="20" w:after="20"/>
        <w:ind w:left="170"/>
      </w:pPr>
      <w:r>
        <w:rPr>
          <w:rFonts w:ascii="Calibri" w:hAnsi="Calibri"/>
          <w:b/>
          <w:color w:val="4A6B25"/>
          <w:sz w:val="15"/>
        </w:rPr>
        <w:t xml:space="preserve">2. </w:t>
      </w:r>
      <w:r>
        <w:rPr>
          <w:rFonts w:ascii="Calibri" w:hAnsi="Calibri"/>
          <w:b w:val="0"/>
          <w:color w:val="3A4A28"/>
          <w:sz w:val="17"/>
        </w:rPr>
        <w:t>Kennedy-Wilson corporate profile — CEO William McMorrow 38-year tenure, entrepreneurial culture, global platform with $36B AUM; kennedywilson.com, Craft.co, 2025-2026</w:t>
      </w:r>
    </w:p>
    <w:p>
      <w:pPr>
        <w:spacing w:before="20" w:after="20"/>
        <w:ind w:left="170"/>
      </w:pPr>
      <w:r>
        <w:rPr>
          <w:rFonts w:ascii="Calibri" w:hAnsi="Calibri"/>
          <w:b/>
          <w:color w:val="4A6B25"/>
          <w:sz w:val="15"/>
        </w:rPr>
        <w:t xml:space="preserve">3. </w:t>
      </w:r>
      <w:r>
        <w:rPr>
          <w:rFonts w:ascii="Calibri" w:hAnsi="Calibri"/>
          <w:b w:val="0"/>
          <w:color w:val="3A4A28"/>
          <w:sz w:val="17"/>
        </w:rPr>
        <w:t>Kennedy-Wilson ESG Report 2023 — energy-efficient developments, environmental performance programs, corporate responsibility commitments; kennedywilson.com, July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KW (Kennedy-Wilson Holdings),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