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LAC</w:t>
      </w:r>
      <w:r>
        <w:rPr>
          <w:rFonts w:ascii="Calibri" w:hAnsi="Calibri"/>
          <w:b/>
          <w:color w:val="1A2010"/>
          <w:sz w:val="40"/>
        </w:rPr>
        <w:t xml:space="preserve">  Lithium Americas Corp.</w:t>
      </w:r>
    </w:p>
    <w:p>
      <w:pPr>
        <w:spacing w:after="120"/>
      </w:pPr>
      <w:r>
        <w:rPr>
          <w:rFonts w:ascii="Calibri" w:hAnsi="Calibri"/>
          <w:b/>
          <w:color w:val="6E8450"/>
          <w:sz w:val="18"/>
        </w:rPr>
        <w:t>GROWTH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Canada</w:t>
      </w:r>
    </w:p>
    <w:p>
      <w:pPr>
        <w:spacing w:after="80"/>
      </w:pPr>
      <w:r>
        <w:rPr>
          <w:rFonts w:ascii="Calibri" w:hAnsi="Calibri"/>
          <w:b w:val="0"/>
          <w:color w:val="3A4A28"/>
          <w:sz w:val="20"/>
        </w:rPr>
        <w:t>Lithium Americas Corp. is a pre-revenue development-stage mining company building the Thacker Pass lithium project in Nevada — one of the largest lithium resources globally. The company is in peak construction phase with mechanical completion of Phase 1 processing targeted for late 2027 and a General Motors joint venture providing strategic capital and offtake. The DOE has committed $2.23B in loan guarantees to the project.</w:t>
      </w:r>
    </w:p>
    <w:p>
      <w:r>
        <w:rPr>
          <w:rFonts w:ascii="Calibri" w:hAnsi="Calibri"/>
          <w:b/>
          <w:color w:val="6E8450"/>
          <w:sz w:val="18"/>
        </w:rPr>
        <w:t>300 Employees · https://www.lithiumamericas.com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Lithium Americas is a development-stage mining company with no commercial production — earning 1 point on Innovation Track Record for the Thacker Pass permitting achievement and the on-site refining capability design (a novel integrated approach). No AI deployment with measurable results in mining operations found — scoring 0. No market share to speak of as a pre-revenue company — scoring 0. Phase 1 processing plant pipeline is specific (engineering 93% complete, mechanical completion late 2027) earning 1 point[1]. R&amp;D intensity is development-focused engineering rather than innovation R&amp;D — scoring 1 for above-average technical development spending relative to peer 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Lithium Americas' mission of supplying critical domestic lithium for U.S. electric vehicle batteries and energy storage is a meaningful, nationally important purpose — scoring 2 on mission floor. The company's partnership with GM and DOE reflects recognition that their work serves strategic national interests beyond profit. Community impact in Nevada is positive but contested by environmental groups — scoring 1. Employee retention data not available for a pre-production company — scoring 0. No significant insider buying data identified — scoring 1 for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LAC reported a 2025 net loss of $86M (-102% worse YoY) with zero revenue[1]. The company has $905.6M in total cash/restricted cash but $1.3-1.6B in 2026 capex requirements. Long-term liabilities rose to $816M from $41M in 2024. Diluted EPS is -$0.50. Current ratio is 5.16 indicating liquidity, but operating cash flow is -$61.2M. Stock price $3.71 × ~2M avg daily volume is above $1M liquidity floor. Revenue growth, ROE, and profit margin are all at floor (zero/negative revenue company). Infrastructure score reflects the pre-revenue reality.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Lithium Americas is a single-asset development company making a long-duration bet on lithium demand from EV adoption. The multi-decade nature of the Thacker Pass project (construction through 2027, production through 2040+) inherently reflects long-term thinking. However, the company's survival depends on lithium price, GM's continued partnership, and DOE loan disbursement — external dependencies that limit organizational infinite game expression.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of supplying domestic lithium for the clean energy transition — reducing U.S. dependence on foreign-controlled lithium supply — is a genuine and nationally important cause[1]. The GM partnership and DOE backing validate the strategic importance. Scores 1 point: genuine cause, but the company is too early-stage for multi-decade validation.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maintained core leadership through an extended development period with complex permitting, DOE negotiations, and GM partnership structuring — suggesting organizational cohesion. For a pre-production development company, this continuity earns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Lithium Americas positions Thacker Pass as superior to Chilean brine and Australian hard rock deposits on sustainability and cost metrics — suggesting competitive awareness that drives improvement in project design. Scores 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a single strategic focus — Thacker Pass — with no meaningful diversification or evidence of ability to pivot. This is a concentration bet, not existential flexibility. Scores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 $4B+ project with a 10-year development timeline in a volatile commodity market requires genuine strategic conviction. The company continued construction through lithium price weakness that has devastated peer valuations.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Lithium Americas holds one of the largest undeveloped lithium resources globally, with a world-class project backed by $2.23B in DOE loan guarantees, a General Motors JV partnership, and $905M in liquidity entering peak construction[1]. Engineering is 93% complete and procurement 60% complete, positioning the company to reach mechanical completion in late 2027 — making LAC one of the few pure-play lithium developers with a credible timeline to production. If lithium prices recover to the $20-25/lb range at project completion, Thacker Pass Phase 1 could generate substantial free cash flow.</w:t>
      </w:r>
    </w:p>
    <w:p>
      <w:pPr>
        <w:spacing w:after="120"/>
      </w:pPr>
      <w:r>
        <w:rPr>
          <w:rFonts w:ascii="Calibri" w:hAnsi="Calibri"/>
          <w:b w:val="0"/>
          <w:color w:val="3A4A28"/>
          <w:sz w:val="20"/>
        </w:rPr>
        <w:t>The bear case is a structural challenge: lithium prices have fallen dramatically since 2022 highs, and the $1.3-1.6B 2026 capex requirement strains the $905M liquidity cushion — raising dilution risk[1]. The 60% reliance on UAE-sourced structural steel creates tariff and supply chain vulnerability. The GM partnership creates customer concentration risk, and any shift in GM's EV strategy (including its 2025 slowdown in EV investments) could affect offtake commitments. First production isn't until 2027-2028, meaning investors face 2+ years of cash burn before any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spot price recovery toward $20-25/lb range as EV demand accelerates in 2026-2027, transforming Thacker Pass from a high-cost marginal producer to an economic project with strong operating margins</w:t>
      </w:r>
    </w:p>
    <w:p>
      <w:pPr>
        <w:spacing w:before="40" w:after="40"/>
        <w:ind w:left="283"/>
      </w:pPr>
      <w:r>
        <w:rPr>
          <w:rFonts w:ascii="Calibri" w:hAnsi="Calibri"/>
          <w:b/>
          <w:color w:val="4A6B25"/>
          <w:sz w:val="20"/>
        </w:rPr>
        <w:t xml:space="preserve">2. </w:t>
      </w:r>
      <w:r>
        <w:rPr>
          <w:rFonts w:ascii="Calibri" w:hAnsi="Calibri"/>
          <w:b w:val="0"/>
          <w:color w:val="3A4A28"/>
          <w:sz w:val="20"/>
        </w:rPr>
        <w:t>Phase 1 construction milestone achievement on schedule through 2026, reducing execution risk premium and potentially attracting institutional capital as the project de-risks</w:t>
      </w:r>
    </w:p>
    <w:p>
      <w:pPr>
        <w:spacing w:before="40" w:after="40"/>
        <w:ind w:left="283"/>
      </w:pPr>
      <w:r>
        <w:rPr>
          <w:rFonts w:ascii="Calibri" w:hAnsi="Calibri"/>
          <w:b/>
          <w:color w:val="4A6B25"/>
          <w:sz w:val="20"/>
        </w:rPr>
        <w:t xml:space="preserve">3. </w:t>
      </w:r>
      <w:r>
        <w:rPr>
          <w:rFonts w:ascii="Calibri" w:hAnsi="Calibri"/>
          <w:b w:val="0"/>
          <w:color w:val="3A4A28"/>
          <w:sz w:val="20"/>
        </w:rPr>
        <w:t>GM EV production ramp-up in 2026-2027 signaling demand for Thacker Pass lithium output and potentially triggering favorable offtake contract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price remaining at current depressed levels through production — at $10-12/lb spot, Thacker Pass Phase 1 economics are marginal, potentially requiring additional DOE support or project modifications</w:t>
      </w:r>
    </w:p>
    <w:p>
      <w:pPr>
        <w:spacing w:before="40" w:after="40"/>
        <w:ind w:left="283"/>
      </w:pPr>
      <w:r>
        <w:rPr>
          <w:rFonts w:ascii="Calibri" w:hAnsi="Calibri"/>
          <w:b/>
          <w:color w:val="4A6B25"/>
          <w:sz w:val="20"/>
        </w:rPr>
        <w:t xml:space="preserve">2. </w:t>
      </w:r>
      <w:r>
        <w:rPr>
          <w:rFonts w:ascii="Calibri" w:hAnsi="Calibri"/>
          <w:b w:val="0"/>
          <w:color w:val="3A4A28"/>
          <w:sz w:val="20"/>
        </w:rPr>
        <w:t>Capital requirements exceeding $905M liquidity, forcing equity raises at a stock price ($3.71) that is 80% below 2022 highs — each dilution further reduces per-share value of the Thacker Pass resource</w:t>
      </w:r>
    </w:p>
    <w:p>
      <w:pPr>
        <w:spacing w:before="40" w:after="40"/>
        <w:ind w:left="283"/>
      </w:pPr>
      <w:r>
        <w:rPr>
          <w:rFonts w:ascii="Calibri" w:hAnsi="Calibri"/>
          <w:b/>
          <w:color w:val="4A6B25"/>
          <w:sz w:val="20"/>
        </w:rPr>
        <w:t xml:space="preserve">3. </w:t>
      </w:r>
      <w:r>
        <w:rPr>
          <w:rFonts w:ascii="Calibri" w:hAnsi="Calibri"/>
          <w:b w:val="0"/>
          <w:color w:val="3A4A28"/>
          <w:sz w:val="20"/>
        </w:rPr>
        <w:t>GM EV strategy revision or joint venture restructuring that changes offtake commitments, potentially leaving LAC to develop a $4B project without a committed anchor customer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Lithium mining is a physical resource extraction and processing business that AI cannot replace — the geological resource, regulatory permits, and physical plant are the core assets[1]. AI is being used to optimize drilling and processing efficiency in the mining industry broadly, which may reduce costs but does not threaten Lithium Americas' asset value. However, the EV battery industry that Lithium Americas serves faces AI-driven efficiency improvements in battery chemistry that could reduce lithium demand per kWh over time. The more material risk is that solid-state batteries (if commercialized) could reduce overall lithium demand. Scores 7 on AI Risk Protection and 0 on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Lithium Americas, 'Lithium Americas Earnings Q4 2025', panabee.com,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'LAC Valuation Measures &amp; Financial Statistics', March 2026</w:t>
      </w:r>
    </w:p>
    <w:p>
      <w:pPr>
        <w:spacing w:before="20" w:after="20"/>
        <w:ind w:left="170"/>
      </w:pPr>
      <w:r>
        <w:rPr>
          <w:rFonts w:ascii="Calibri" w:hAnsi="Calibri"/>
          <w:b/>
          <w:color w:val="4A6B25"/>
          <w:sz w:val="15"/>
        </w:rPr>
        <w:t xml:space="preserve">3. </w:t>
      </w:r>
      <w:r>
        <w:rPr>
          <w:rFonts w:ascii="Calibri" w:hAnsi="Calibri"/>
          <w:b w:val="0"/>
          <w:color w:val="3A4A28"/>
          <w:sz w:val="17"/>
        </w:rPr>
        <w:t>Public.com, 'LAC Stock Forecast: Analyst Ratings', March 2026</w:t>
      </w:r>
    </w:p>
    <w:p>
      <w:pPr>
        <w:spacing w:before="20" w:after="20"/>
        <w:ind w:left="170"/>
      </w:pPr>
      <w:r>
        <w:rPr>
          <w:rFonts w:ascii="Calibri" w:hAnsi="Calibri"/>
          <w:b/>
          <w:color w:val="4A6B25"/>
          <w:sz w:val="15"/>
        </w:rPr>
        <w:t xml:space="preserve">4. </w:t>
      </w:r>
      <w:r>
        <w:rPr>
          <w:rFonts w:ascii="Calibri" w:hAnsi="Calibri"/>
          <w:b w:val="0"/>
          <w:color w:val="3A4A28"/>
          <w:sz w:val="17"/>
        </w:rPr>
        <w:t>Nasdaq, 'Lithium Americas Corp. (LAC) Earnings Report Dates',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